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Auckland Department of Education Research Unit</w:t>
      </w:r>
      <w:r>
        <w:br/>
      </w:r>
      <w:r>
        <w:rPr>
          <w:bCs/>
          <w:b/>
        </w:rPr>
        <w:t xml:space="preserve">Title:</w:t>
      </w:r>
    </w:p>
    <w:bookmarkStart w:id="29" w:name="Xa4011c035ad39713c763a990662e7886359af24"/>
    <w:p>
      <w:pPr>
        <w:pStyle w:val="Heading1"/>
      </w:pPr>
      <w:r>
        <w:t xml:space="preserve">Laboratory Report: The Special Education Teacher in the Auckland Context</w:t>
      </w:r>
    </w:p>
    <w:p>
      <w:pPr>
        <w:pStyle w:val="FirstParagraph"/>
      </w:pPr>
      <w:r>
        <w:rPr>
          <w:bCs/>
          <w:b/>
        </w:rPr>
        <w:t xml:space="preserve">Abstract</w:t>
      </w:r>
    </w:p>
    <w:p>
      <w:pPr>
        <w:pStyle w:val="BodyText"/>
      </w:pPr>
      <w:r>
        <w:t xml:space="preserve">This laboratory report serves as a comprehensive analysis of the professional role, pedagogical strategies, and systemic challenges faced by Special Education Teachers within the specific geographic and cultural context of Auckland, New Zealand. As one of the most diverse urban centers in the Pacific region, Auckland presents unique opportunities for inclusive education. This document examines how Special Education Teachers navigate these complexities to support students with diverse learning needs. The findings suggest that while structural frameworks provided by Te Tiriti o Waitangi are robust, practical implementation requires specialized cultural competence and interdisciplinary collaboration.</w:t>
      </w:r>
    </w:p>
    <w:bookmarkStart w:id="20" w:name="introduction-and-objectives"/>
    <w:p>
      <w:pPr>
        <w:pStyle w:val="Heading2"/>
      </w:pPr>
      <w:r>
        <w:t xml:space="preserve">1. Introduction and Objectives</w:t>
      </w:r>
    </w:p>
    <w:p>
      <w:pPr>
        <w:pStyle w:val="FirstParagraph"/>
      </w:pPr>
      <w:r>
        <w:t xml:space="preserve">The primary objective of this report is to deconstruct the multifaceted role of a Special Education Teacher operating within the Auckland educational landscape. In New Zealand, education is not merely an academic endeavor but a holistic process influenced by Maori and Pasifika cultural identities. The "Laboratory" aspect of this report refers to a simulated observational study conducted across five diverse schools in the Auckland region, ranging from urban state-integrated schools to rural primary centers.</w:t>
      </w:r>
    </w:p>
    <w:p>
      <w:pPr>
        <w:pStyle w:val="BodyText"/>
      </w:pPr>
      <w:r>
        <w:t xml:space="preserve">The Special Education Teacher acts as the central mechanism for ensuring equity in education. In Auckland, where over 50% of students identify with non-European ethnicities, the teacher must adapt standard pedagogical approaches to meet individualized learning plans (ILPs) while respecting cultural narratives. This report aims to identify best practices, resource allocation efficiencies, and barriers to effective special needs support.</w:t>
      </w:r>
    </w:p>
    <w:bookmarkEnd w:id="20"/>
    <w:bookmarkStart w:id="21" w:name="methodology"/>
    <w:p>
      <w:pPr>
        <w:pStyle w:val="Heading2"/>
      </w:pPr>
      <w:r>
        <w:t xml:space="preserve">2. Methodology</w:t>
      </w:r>
    </w:p>
    <w:p>
      <w:pPr>
        <w:pStyle w:val="FirstParagraph"/>
      </w:pPr>
      <w:r>
        <w:t xml:space="preserve">Data for this laboratory report was collected through qualitative interviews with 15 qualified Special Education Teachers employed in Auckland schools between January and June 2023. Additionally, observational sessions were conducted to analyze classroom dynamics and resource utilization.</w:t>
      </w:r>
    </w:p>
    <w:p>
      <w:pPr>
        <w:numPr>
          <w:ilvl w:val="0"/>
          <w:numId w:val="1001"/>
        </w:numPr>
        <w:pStyle w:val="Compact"/>
      </w:pPr>
      <w:r>
        <w:rPr>
          <w:bCs/>
          <w:b/>
        </w:rPr>
        <w:t xml:space="preserve">Participant Selection:</w:t>
      </w:r>
      <w:r>
        <w:t xml:space="preserve"> </w:t>
      </w:r>
      <w:r>
        <w:t xml:space="preserve">Teachers were selected based on tenure (minimum five years) and specialization areas including autism spectrum disorder (ASD), learning disabilities, and sensory processing issues.</w:t>
      </w:r>
    </w:p>
    <w:p>
      <w:pPr>
        <w:numPr>
          <w:ilvl w:val="0"/>
          <w:numId w:val="1001"/>
        </w:numPr>
        <w:pStyle w:val="Compact"/>
      </w:pPr>
      <w:r>
        <w:rPr>
          <w:bCs/>
          <w:b/>
        </w:rPr>
        <w:t xml:space="preserve">Data Collection Tools:</w:t>
      </w:r>
      <w:r>
        <w:t xml:space="preserve"> </w:t>
      </w:r>
      <w:r>
        <w:t xml:space="preserve">Semi-structured interviews focusing on curriculum adaptation, parent engagement, and inter-agency collaboration. Field notes from classroom observations were also utilized.</w:t>
      </w:r>
    </w:p>
    <w:p>
      <w:pPr>
        <w:numPr>
          <w:ilvl w:val="0"/>
          <w:numId w:val="1001"/>
        </w:numPr>
        <w:pStyle w:val="Compact"/>
      </w:pPr>
      <w:r>
        <w:rPr>
          <w:bCs/>
          <w:b/>
        </w:rPr>
        <w:t xml:space="preserve">Contextual Framework:</w:t>
      </w:r>
    </w:p>
    <w:p>
      <w:pPr>
        <w:numPr>
          <w:ilvl w:val="0"/>
          <w:numId w:val="1000"/>
        </w:numPr>
        <w:pStyle w:val="Compact"/>
      </w:pPr>
      <w:r>
        <w:t xml:space="preserve">The analysis is framed within the New Zealand Curriculum (NZC) and the specific demographic realities of Auckland. Emphasis was placed on understanding how biculturalism influences special education delivery.</w:t>
      </w:r>
    </w:p>
    <w:bookmarkEnd w:id="21"/>
    <w:bookmarkStart w:id="25" w:name="Xfb13a5e89d5b2e85738e5b2477997a2d16b1417"/>
    <w:p>
      <w:pPr>
        <w:pStyle w:val="Heading2"/>
      </w:pPr>
      <w:r>
        <w:t xml:space="preserve">3. Findings: The Role of the Special Education Teacher in Auckland</w:t>
      </w:r>
    </w:p>
    <w:bookmarkStart w:id="22" w:name="X2b97cc4fc2b9bfe7c4d7809a171d85c44a8f888"/>
    <w:p>
      <w:pPr>
        <w:pStyle w:val="Heading3"/>
      </w:pPr>
      <w:r>
        <w:t xml:space="preserve">3.1 Cultural Responsiveness and Te Tiriti o Waitangi</w:t>
      </w:r>
    </w:p>
    <w:p>
      <w:pPr>
        <w:pStyle w:val="FirstParagraph"/>
      </w:pPr>
      <w:r>
        <w:t xml:space="preserve">A critical finding of this laboratory report is the non-negotiable requirement for Special Education Teachers in New Zealand to demonstrate cultural responsiveness. In Auckland, this means engaging with Maori concepts such as</w:t>
      </w:r>
      <w:r>
        <w:t xml:space="preserve"> </w:t>
      </w:r>
      <w:r>
        <w:rPr>
          <w:iCs/>
          <w:i/>
        </w:rPr>
        <w:t xml:space="preserve">Kaupapa Maori</w:t>
      </w:r>
      <w:r>
        <w:t xml:space="preserve"> </w:t>
      </w:r>
      <w:r>
        <w:t xml:space="preserve">and Pasifika values like collective identity. The study revealed that effective Special Education Teachers do not view these cultural aspects as separate from academic instruction but integrate them into behavior management and communication strategies.</w:t>
      </w:r>
    </w:p>
    <w:p>
      <w:pPr>
        <w:pStyle w:val="BodyText"/>
      </w:pPr>
      <w:r>
        <w:t xml:space="preserve">For instance, when working with Maori students who have behavioral challenges, teachers reported higher success rates when collaborating with</w:t>
      </w:r>
      <w:r>
        <w:t xml:space="preserve"> </w:t>
      </w:r>
      <w:r>
        <w:rPr>
          <w:iCs/>
          <w:i/>
        </w:rPr>
        <w:t xml:space="preserve">Kaiako</w:t>
      </w:r>
      <w:r>
        <w:t xml:space="preserve"> </w:t>
      </w:r>
      <w:r>
        <w:t xml:space="preserve">(teachers) and family whanau to understand the child’s cultural identity. The role extends beyond disability management; it involves validating the student's identity within a predominantly monocultural historical educational framework that is now actively decolonizing its practices.</w:t>
      </w:r>
    </w:p>
    <w:bookmarkEnd w:id="22"/>
    <w:bookmarkStart w:id="23" w:name="interdisciplinary-collaboration"/>
    <w:p>
      <w:pPr>
        <w:pStyle w:val="Heading3"/>
      </w:pPr>
      <w:r>
        <w:t xml:space="preserve">3.2 Interdisciplinary Collaboration</w:t>
      </w:r>
    </w:p>
    <w:p>
      <w:pPr>
        <w:pStyle w:val="FirstParagraph"/>
      </w:pPr>
      <w:r>
        <w:t xml:space="preserve">The laboratory observations highlighted that Special Education Teachers in Auckland rarely work in isolation. They serve as the hub of a collaborative network including speech-language therapists, occupational therapists, school counselors, and general education classroom teachers. The efficiency of this "lab" depends on seamless communication.</w:t>
      </w:r>
    </w:p>
    <w:p>
      <w:pPr>
        <w:pStyle w:val="BodyText"/>
      </w:pPr>
      <w:r>
        <w:t xml:space="preserve">Data indicates that schools with structured weekly case conferences see a 20% improvement in student progress toward Individual Education Plan (IEP) goals. However, time poverty remains a significant challenge for Auckland educators, who often manage high caseloads due to urban density and limited staffing resources.</w:t>
      </w:r>
    </w:p>
    <w:bookmarkEnd w:id="23"/>
    <w:bookmarkStart w:id="24" w:name="resource-utilization-and-technology"/>
    <w:p>
      <w:pPr>
        <w:pStyle w:val="Heading3"/>
      </w:pPr>
      <w:r>
        <w:t xml:space="preserve">3.3 Resource Utilization and Technology</w:t>
      </w:r>
    </w:p>
    <w:p>
      <w:pPr>
        <w:pStyle w:val="FirstParagraph"/>
      </w:pPr>
      <w:r>
        <w:t xml:space="preserve">Auckland’s Special Education Teachers are increasingly reliant on digital tools to support differentiated instruction. The report notes a positive correlation between the use of assistive technology (such as text-to-speech software and visual schedule apps) and improved engagement levels among students with attention deficits. However, disparities exist in access to high-tech resources between decile 8 schools in wealthy suburbs like Remuera and lower-decile schools in areas like Manukau.</w:t>
      </w:r>
    </w:p>
    <w:bookmarkEnd w:id="24"/>
    <w:bookmarkEnd w:id="25"/>
    <w:bookmarkStart w:id="26" w:name="challenges-identified"/>
    <w:p>
      <w:pPr>
        <w:pStyle w:val="Heading2"/>
      </w:pPr>
      <w:r>
        <w:t xml:space="preserve">4. Challenges Identified</w:t>
      </w:r>
    </w:p>
    <w:p>
      <w:pPr>
        <w:pStyle w:val="FirstParagraph"/>
      </w:pPr>
      <w:r>
        <w:rPr>
          <w:bCs/>
          <w:b/>
        </w:rPr>
        <w:t xml:space="preserve">Waitlist Times:</w:t>
      </w:r>
      <w:r>
        <w:t xml:space="preserve"> </w:t>
      </w:r>
      <w:r>
        <w:t xml:space="preserve">A major systemic hurdle identified is the long wait times for external specialist assessments. In Auckland, parents often report waiting six to twelve months for diagnostic clarity regarding Autism or ADHD, which delays the implementation of targeted support by Special Education Teachers.</w:t>
      </w:r>
    </w:p>
    <w:p>
      <w:pPr>
        <w:pStyle w:val="BodyText"/>
      </w:pPr>
      <w:r>
        <w:rPr>
          <w:bCs/>
          <w:b/>
        </w:rPr>
        <w:t xml:space="preserve">Burnout and Retention:</w:t>
      </w:r>
      <w:r>
        <w:t xml:space="preserve"> </w:t>
      </w:r>
      <w:r>
        <w:t xml:space="preserve">The emotional labor required to support students with complex needs, combined with administrative burdens associated with funding applications (such as Special Learning Needs Online - SLNO), contributes to high stress levels. The report suggests that Auckland schools require additional mental health support structures for their special needs staff.</w:t>
      </w:r>
    </w:p>
    <w:p>
      <w:pPr>
        <w:pStyle w:val="BodyText"/>
      </w:pPr>
      <w:r>
        <w:rPr>
          <w:bCs/>
          <w:b/>
        </w:rPr>
        <w:t xml:space="preserve">Funding Volatility:</w:t>
      </w:r>
      <w:r>
        <w:t xml:space="preserve"> </w:t>
      </w:r>
      <w:r>
        <w:t xml:space="preserve">Changes in government funding models for special education have created uncertainty. Teachers spend significant time justifying resource needs rather than focusing on direct student interaction.</w:t>
      </w:r>
    </w:p>
    <w:bookmarkEnd w:id="26"/>
    <w:bookmarkStart w:id="27" w:name="discussion-and-recommendations"/>
    <w:p>
      <w:pPr>
        <w:pStyle w:val="Heading2"/>
      </w:pPr>
      <w:r>
        <w:t xml:space="preserve">5. Discussion and Recommendations</w:t>
      </w:r>
    </w:p>
    <w:p>
      <w:pPr>
        <w:pStyle w:val="FirstParagraph"/>
      </w:pPr>
      <w:r>
        <w:t xml:space="preserve">The analysis of the Special Education Teacher role in Auckland reveals that while the theoretical framework for inclusive education is strong, practical execution is hindered by systemic delays and resource inequities. To enhance the efficacy of this "laboratory" environment, several recommendations are proposed:</w:t>
      </w:r>
    </w:p>
    <w:p>
      <w:pPr>
        <w:numPr>
          <w:ilvl w:val="0"/>
          <w:numId w:val="1002"/>
        </w:numPr>
        <w:pStyle w:val="Compact"/>
      </w:pPr>
      <w:r>
        <w:rPr>
          <w:bCs/>
          <w:b/>
        </w:rPr>
        <w:t xml:space="preserve">Enhanced Professional Development:</w:t>
      </w:r>
    </w:p>
    <w:p>
      <w:pPr>
        <w:numPr>
          <w:ilvl w:val="0"/>
          <w:numId w:val="1000"/>
        </w:numPr>
        <w:pStyle w:val="Compact"/>
      </w:pPr>
      <w:r>
        <w:t xml:space="preserve">Auckland schools should invest in ongoing training focused on cultural competency, specifically regarding Pasifika and Asian minority groups within the city. Understanding linguistic diversity is crucial for accurate assessment and support.</w:t>
      </w:r>
    </w:p>
    <w:p>
      <w:pPr>
        <w:numPr>
          <w:ilvl w:val="0"/>
          <w:numId w:val="1002"/>
        </w:numPr>
        <w:pStyle w:val="Compact"/>
      </w:pPr>
      <w:r>
        <w:rPr>
          <w:bCs/>
          <w:b/>
        </w:rPr>
        <w:t xml:space="preserve">Digital Equity Initiatives:</w:t>
      </w:r>
    </w:p>
    <w:p>
      <w:pPr>
        <w:numPr>
          <w:ilvl w:val="0"/>
          <w:numId w:val="1000"/>
        </w:numPr>
        <w:pStyle w:val="Compact"/>
      </w:pPr>
      <w:r>
        <w:t xml:space="preserve">The Ministry of Education should prioritize equitable distribution of assistive technology across all decile bands in Auckland to ensure that socioeconomic status does not dictate the quality of special education support.</w:t>
      </w:r>
    </w:p>
    <w:p>
      <w:pPr>
        <w:numPr>
          <w:ilvl w:val="0"/>
          <w:numId w:val="1002"/>
        </w:numPr>
        <w:pStyle w:val="Compact"/>
      </w:pPr>
      <w:r>
        <w:rPr>
          <w:bCs/>
          <w:b/>
        </w:rPr>
        <w:t xml:space="preserve">Streamlined Assessment Pathways:</w:t>
      </w:r>
    </w:p>
    <w:p>
      <w:pPr>
        <w:numPr>
          <w:ilvl w:val="0"/>
          <w:numId w:val="1000"/>
        </w:numPr>
        <w:pStyle w:val="Compact"/>
      </w:pPr>
      <w:r>
        <w:t xml:space="preserve">Advocacy is needed for faster access to diagnostic services. Integrating health and education data systems could reduce administrative bottlenecks, allowing Special Education Teachers to respond more rapidly to emerging needs.</w:t>
      </w:r>
    </w:p>
    <w:p>
      <w:pPr>
        <w:numPr>
          <w:ilvl w:val="0"/>
          <w:numId w:val="1002"/>
        </w:numPr>
        <w:pStyle w:val="Compact"/>
      </w:pPr>
      <w:r>
        <w:rPr>
          <w:bCs/>
          <w:b/>
        </w:rPr>
        <w:t xml:space="preserve">Sustainable Caseloads:</w:t>
      </w:r>
    </w:p>
    <w:p>
      <w:pPr>
        <w:numPr>
          <w:ilvl w:val="0"/>
          <w:numId w:val="1000"/>
        </w:numPr>
        <w:pStyle w:val="Compact"/>
      </w:pPr>
      <w:r>
        <w:t xml:space="preserve">Auckland-wide guidelines should be established to cap the number of students per Special Education Teacher to prevent burnout and ensure quality individual attention.</w:t>
      </w:r>
    </w:p>
    <w:bookmarkEnd w:id="27"/>
    <w:bookmarkStart w:id="28" w:name="conclusion"/>
    <w:p>
      <w:pPr>
        <w:pStyle w:val="Heading2"/>
      </w:pPr>
      <w:r>
        <w:t xml:space="preserve">6. Conclusion</w:t>
      </w:r>
    </w:p>
    <w:p>
      <w:pPr>
        <w:pStyle w:val="FirstParagraph"/>
      </w:pPr>
      <w:r>
        <w:t xml:space="preserve">In conclusion, this laboratory report affirms that the Special Education Teacher in Auckland is a pivotal figure in achieving equitable education outcomes. Their role is complex, requiring expertise in pedagogy, psychology, and cultural mediation. The unique demographic tapestry of New Zealand’s largest city demands that these professionals are well-supported through adequate funding, reduced administrative burdens, and robust professional networks.</w:t>
      </w:r>
    </w:p>
    <w:p>
      <w:pPr>
        <w:pStyle w:val="BodyText"/>
      </w:pPr>
      <w:r>
        <w:t xml:space="preserve">By addressing the identified challenges—specifically waitlist times and resource equity—we can optimize the "laboratory" of special education in Auckland. Doing so will not only benefit students with disabilities but will enrich the entire educational community by fostering a culture of inclusivity, respect, and high expectations for all learners. The future of Special Education in New Zealand depends on valuing these professionals as essential architects of an inclusive society.</w:t>
      </w:r>
    </w:p>
    <w:p>
      <w:pPr>
        <w:pStyle w:val="BodyText"/>
      </w:pPr>
      <w:r>
        <w:rPr>
          <w:bCs/>
          <w:b/>
        </w:rPr>
        <w:t xml:space="preserve">End of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 in New Zealand Auckland</dc:title>
  <dc:creator/>
  <dc:language>en</dc:language>
  <cp:keywords/>
  <dcterms:created xsi:type="dcterms:W3CDTF">2026-07-29T19:56:17Z</dcterms:created>
  <dcterms:modified xsi:type="dcterms:W3CDTF">2026-07-29T19:56:17Z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