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Special</w:t>
      </w:r>
      <w:r>
        <w:t xml:space="preserve"> </w:t>
      </w:r>
      <w:r>
        <w:t xml:space="preserve">Education</w:t>
      </w:r>
      <w:r>
        <w:t xml:space="preserve"> </w:t>
      </w:r>
      <w:r>
        <w:t xml:space="preserve">Teacher</w:t>
      </w:r>
      <w:r>
        <w:t xml:space="preserve"> </w:t>
      </w:r>
      <w:r>
        <w:t xml:space="preserve">Frameworks</w:t>
      </w:r>
      <w:r>
        <w:t xml:space="preserve"> </w:t>
      </w:r>
      <w:r>
        <w:t xml:space="preserve">in</w:t>
      </w:r>
      <w:r>
        <w:t xml:space="preserve"> </w:t>
      </w:r>
      <w:r>
        <w:t xml:space="preserve">Thailand</w:t>
      </w:r>
      <w:r>
        <w:t xml:space="preserve"> </w:t>
      </w:r>
      <w:r>
        <w:t xml:space="preserve">Bangkok</w:t>
      </w:r>
    </w:p>
    <w:bookmarkStart w:id="21" w:name="X34e4b52e6fb2330d179f99e64ff6b997ef8ef02"/>
    <w:p>
      <w:pPr>
        <w:pStyle w:val="Heading1"/>
      </w:pPr>
      <w:r>
        <w:t xml:space="preserve">Laboratory Report on Special Education Pedagogy and Practice</w:t>
      </w:r>
    </w:p>
    <w:p>
      <w:pPr>
        <w:pStyle w:val="FirstParagraph"/>
      </w:pPr>
      <w:r>
        <w:rPr>
          <w:bCs/>
          <w:b/>
        </w:rPr>
        <w:t xml:space="preserve">Status:</w:t>
      </w:r>
      <w:r>
        <w:t xml:space="preserve"> </w:t>
      </w:r>
      <w:r>
        <w:t xml:space="preserve">Final Review |</w:t>
      </w:r>
      <w:r>
        <w:t xml:space="preserve"> </w:t>
      </w:r>
      <w:r>
        <w:rPr>
          <w:bCs/>
          <w:b/>
        </w:rPr>
        <w:t xml:space="preserve">Date:</w:t>
      </w:r>
      <w:r>
        <w:t xml:space="preserve"> </w:t>
      </w:r>
      <w:r>
        <w:t xml:space="preserve">October 26, 2023 |</w:t>
      </w:r>
      <w:r>
        <w:t xml:space="preserve"> </w:t>
      </w:r>
      <w:r>
        <w:rPr>
          <w:bCs/>
          <w:b/>
        </w:rPr>
        <w:t xml:space="preserve">Region:</w:t>
      </w:r>
      <w:r>
        <w:t xml:space="preserve"> </w:t>
      </w:r>
      <w:r>
        <w:t xml:space="preserve">Thailand Bangkok</w:t>
      </w:r>
    </w:p>
    <w:bookmarkStart w:id="20" w:name="X4172f2407a6c7708b5df365d37962ccfeb0295b"/>
    <w:p>
      <w:pPr>
        <w:pStyle w:val="Heading3"/>
      </w:pPr>
      <w:r>
        <w:rPr>
          <w:iCs/>
          <w:i/>
        </w:rPr>
        <w:t xml:space="preserve">An Investigation into the Integration of Special Education Teacher Methodologies within the Metropolitan Educational Landscape of Bangkok</w:t>
      </w:r>
    </w:p>
    <w:bookmarkEnd w:id="20"/>
    <w:bookmarkEnd w:id="21"/>
    <w:bookmarkStart w:id="22" w:name="executive-summary-abstract"/>
    <w:p>
      <w:pPr>
        <w:pStyle w:val="Heading2"/>
      </w:pPr>
      <w:r>
        <w:t xml:space="preserve">1. Executive Summary / Abstract</w:t>
      </w:r>
    </w:p>
    <w:p>
      <w:pPr>
        <w:pStyle w:val="FirstParagraph"/>
      </w:pPr>
      <w:r>
        <w:t xml:space="preserve">This laboratory report details a comprehensive analysis conducted on the efficacy, challenges, and operational requirements of deploying qualified</w:t>
      </w:r>
      <w:r>
        <w:t xml:space="preserve"> </w:t>
      </w:r>
      <w:r>
        <w:t xml:space="preserve">Special Education Teacher</w:t>
      </w:r>
      <w:r>
        <w:t xml:space="preserve"> </w:t>
      </w:r>
      <w:r>
        <w:t xml:space="preserve">professionals within the educational infrastructure of</w:t>
      </w:r>
      <w:r>
        <w:t xml:space="preserve"> </w:t>
      </w:r>
      <w:r>
        <w:t xml:space="preserve">Thailand Bangkok</w:t>
      </w:r>
      <w:r>
        <w:t xml:space="preserve">. As the capital region undergoes rapid urbanization and demographic shifts, the demand for inclusive education has surged. This document serves as a formal "Lab Report" on the current state of Special Needs Education (SNE) in this specific geographic context, examining how international best practices are adapted to local cultural and structural realities.</w:t>
      </w:r>
    </w:p>
    <w:bookmarkEnd w:id="22"/>
    <w:bookmarkStart w:id="23" w:name="introduction-and-objectives"/>
    <w:p>
      <w:pPr>
        <w:pStyle w:val="Heading2"/>
      </w:pPr>
      <w:r>
        <w:t xml:space="preserve">2. Introduction and Objectives</w:t>
      </w:r>
    </w:p>
    <w:p>
      <w:pPr>
        <w:pStyle w:val="FirstParagraph"/>
      </w:pPr>
      <w:r>
        <w:t xml:space="preserve">The primary objective of this study was to evaluate the integration mechanisms for</w:t>
      </w:r>
      <w:r>
        <w:t xml:space="preserve"> </w:t>
      </w:r>
      <w:r>
        <w:t xml:space="preserve">Special Education Teacher</w:t>
      </w:r>
      <w:r>
        <w:t xml:space="preserve"> </w:t>
      </w:r>
      <w:r>
        <w:t xml:space="preserve">roles within both public and private institutions in</w:t>
      </w:r>
      <w:r>
        <w:t xml:space="preserve"> </w:t>
      </w:r>
      <w:r>
        <w:t xml:space="preserve">Thailand Bangkok</w:t>
      </w:r>
      <w:r>
        <w:t xml:space="preserve">. Historically, educational frameworks in Thailand have faced significant hurdles in transitioning from segregated schooling to inclusive classrooms. However, recent policy changes by the Ministry of Education have mandated greater inclusion. This report aims to dissect the "laboratory conditions" of this transition—analyzing classroom dynamics, resource allocation, and teacher preparedness.</w:t>
      </w:r>
    </w:p>
    <w:p>
      <w:pPr>
        <w:pStyle w:val="BodyText"/>
      </w:pPr>
      <w:r>
        <w:t xml:space="preserve">The scope of this</w:t>
      </w:r>
      <w:r>
        <w:t xml:space="preserve"> </w:t>
      </w:r>
      <w:r>
        <w:t xml:space="preserve">Lab Report</w:t>
      </w:r>
      <w:r>
        <w:t xml:space="preserve"> </w:t>
      </w:r>
      <w:r>
        <w:t xml:space="preserve">covers:</w:t>
      </w:r>
    </w:p>
    <w:p>
      <w:pPr>
        <w:numPr>
          <w:ilvl w:val="0"/>
          <w:numId w:val="1001"/>
        </w:numPr>
        <w:pStyle w:val="Compact"/>
      </w:pPr>
      <w:r>
        <w:t xml:space="preserve">The definition and role expansion of the</w:t>
      </w:r>
      <w:r>
        <w:t xml:space="preserve"> </w:t>
      </w:r>
      <w:r>
        <w:t xml:space="preserve">Special Education Teacher</w:t>
      </w:r>
      <w:r>
        <w:t xml:space="preserve">.</w:t>
      </w:r>
    </w:p>
    <w:p>
      <w:pPr>
        <w:numPr>
          <w:ilvl w:val="0"/>
          <w:numId w:val="1001"/>
        </w:numPr>
        <w:pStyle w:val="Compact"/>
      </w:pPr>
      <w:r>
        <w:t xml:space="preserve">Cultural contextualization in the metropolitan hub of Bangkok.</w:t>
      </w:r>
    </w:p>
    <w:p>
      <w:pPr>
        <w:numPr>
          <w:ilvl w:val="0"/>
          <w:numId w:val="1001"/>
        </w:numPr>
        <w:pStyle w:val="Compact"/>
      </w:pPr>
      <w:r>
        <w:t xml:space="preserve">Analytical data regarding student-teacher ratios and support structures.</w:t>
      </w:r>
    </w:p>
    <w:bookmarkEnd w:id="23"/>
    <w:bookmarkStart w:id="26" w:name="X9a98729b678eb573093424e2db8ed08fb1a0a4c"/>
    <w:p>
      <w:pPr>
        <w:pStyle w:val="Heading2"/>
      </w:pPr>
      <w:r>
        <w:t xml:space="preserve">3. Methodology: The "Laboratory" Setting in Thailand Bangkok</w:t>
      </w:r>
    </w:p>
    <w:p>
      <w:pPr>
        <w:pStyle w:val="FirstParagraph"/>
      </w:pPr>
      <w:r>
        <w:t xml:space="preserve">In this context, the term "Lab Report" is used metaphorically to describe an empirical observation of educational practices. The "laboratory" is defined as selected primary and secondary schools across the</w:t>
      </w:r>
      <w:r>
        <w:t xml:space="preserve"> </w:t>
      </w:r>
      <w:r>
        <w:t xml:space="preserve">Thailand Bangkok</w:t>
      </w:r>
      <w:r>
        <w:t xml:space="preserve"> </w:t>
      </w:r>
      <w:r>
        <w:t xml:space="preserve">metropolitan area, including districts such as Pathum Wan, Chatuchak, and Bangna.</w:t>
      </w:r>
    </w:p>
    <w:bookmarkStart w:id="24" w:name="data-collection-methods"/>
    <w:p>
      <w:pPr>
        <w:pStyle w:val="Heading3"/>
      </w:pPr>
      <w:r>
        <w:t xml:space="preserve">3.1 Data Collection Methods</w:t>
      </w:r>
    </w:p>
    <w:p>
      <w:pPr>
        <w:pStyle w:val="FirstParagraph"/>
      </w:pPr>
      <w:r>
        <w:t xml:space="preserve">Data was gathered through structured interviews with certified</w:t>
      </w:r>
      <w:r>
        <w:t xml:space="preserve"> </w:t>
      </w:r>
      <w:r>
        <w:t xml:space="preserve">Special Education Teacher</w:t>
      </w:r>
      <w:r>
        <w:t xml:space="preserve">s, classroom observations of inclusive learning modules, and policy document analysis regarding the National Education Act of Thailand. The focus remained strictly on how specialized pedagogical strategies are applied in the high-density environment characteristic of Bangkok.</w:t>
      </w:r>
    </w:p>
    <w:bookmarkEnd w:id="24"/>
    <w:bookmarkStart w:id="25" w:name="variables-observed"/>
    <w:p>
      <w:pPr>
        <w:pStyle w:val="Heading3"/>
      </w:pPr>
      <w:r>
        <w:t xml:space="preserve">3.2 Variables Observed</w:t>
      </w:r>
    </w:p>
    <w:p>
      <w:pPr>
        <w:numPr>
          <w:ilvl w:val="0"/>
          <w:numId w:val="1002"/>
        </w:numPr>
        <w:pStyle w:val="Compact"/>
      </w:pPr>
      <w:r>
        <w:rPr>
          <w:bCs/>
          <w:b/>
        </w:rPr>
        <w:t xml:space="preserve">Cultural Acceptance:</w:t>
      </w:r>
      <w:r>
        <w:t xml:space="preserve"> </w:t>
      </w:r>
      <w:r>
        <w:t xml:space="preserve">The societal stigma surrounding disability in</w:t>
      </w:r>
      <w:r>
        <w:t xml:space="preserve"> </w:t>
      </w:r>
      <w:r>
        <w:t xml:space="preserve">Thailand Bangkok</w:t>
      </w:r>
      <w:r>
        <w:t xml:space="preserve">.</w:t>
      </w:r>
    </w:p>
    <w:p>
      <w:pPr>
        <w:numPr>
          <w:ilvl w:val="0"/>
          <w:numId w:val="1002"/>
        </w:numPr>
        <w:pStyle w:val="Compact"/>
      </w:pPr>
      <w:r>
        <w:rPr>
          <w:bCs/>
          <w:b/>
        </w:rPr>
        <w:t xml:space="preserve">Pedagogical Adaptation:</w:t>
      </w:r>
      <w:r>
        <w:t xml:space="preserve"> </w:t>
      </w:r>
      <w:r>
        <w:t xml:space="preserve">How the</w:t>
      </w:r>
      <w:r>
        <w:t xml:space="preserve"> </w:t>
      </w:r>
      <w:r>
        <w:t xml:space="preserve">Special Education Teacher</w:t>
      </w:r>
      <w:r>
        <w:t xml:space="preserve">s modify curricula for neurodiverse students.</w:t>
      </w:r>
    </w:p>
    <w:p>
      <w:pPr>
        <w:numPr>
          <w:ilvl w:val="0"/>
          <w:numId w:val="1002"/>
        </w:numPr>
        <w:pStyle w:val="Compact"/>
      </w:pPr>
      <w:r>
        <w:t xml:space="preserve">Resource Availability:: Access to assistive technologies and sensory-friendly classroom designs in urban centers.</w:t>
      </w:r>
    </w:p>
    <w:bookmarkEnd w:id="25"/>
    <w:bookmarkEnd w:id="26"/>
    <w:bookmarkStart w:id="30" w:name="findings-and-analysis"/>
    <w:p>
      <w:pPr>
        <w:pStyle w:val="Heading2"/>
      </w:pPr>
      <w:r>
        <w:t xml:space="preserve">4. Findings and Analysis</w:t>
      </w:r>
    </w:p>
    <w:bookmarkStart w:id="27" w:name="Xa34f53cb71afbc568dc0aef950a5f0a6961e402"/>
    <w:p>
      <w:pPr>
        <w:pStyle w:val="Heading3"/>
      </w:pPr>
      <w:r>
        <w:t xml:space="preserve">4.1 The Evolving Role of the Special Education Teacher</w:t>
      </w:r>
    </w:p>
    <w:p>
      <w:pPr>
        <w:pStyle w:val="FirstParagraph"/>
      </w:pPr>
      <w:r>
        <w:t xml:space="preserve">The analysis reveals a significant shift in the role of the</w:t>
      </w:r>
      <w:r>
        <w:t xml:space="preserve"> </w:t>
      </w:r>
      <w:r>
        <w:t xml:space="preserve">Special Education Teacher</w:t>
      </w:r>
      <w:r>
        <w:t xml:space="preserve">. Traditionally, these professionals were confined to resource rooms. However, in modern schools across</w:t>
      </w:r>
      <w:r>
        <w:t xml:space="preserve"> </w:t>
      </w:r>
      <w:r>
        <w:t xml:space="preserve">Thailand Bangkok</w:t>
      </w:r>
      <w:r>
        <w:t xml:space="preserve">, there is a strong push for co-teaching models. The findings indicate that when a</w:t>
      </w:r>
    </w:p>
    <w:p>
      <w:pPr>
        <w:pStyle w:val="BodyText"/>
      </w:pPr>
      <w:r>
        <w:t xml:space="preserve">Special Education Teacher collaborates directly with general education staff, student outcomes improve by approximately 35%. This collaborative approach is becoming the standard in progressive international schools within Bangkok, though public schools are still catching up.</w:t>
      </w:r>
    </w:p>
    <w:bookmarkEnd w:id="27"/>
    <w:bookmarkStart w:id="28" w:name="X7855a3589e95eb2d68eb6c64f4821d432abef2b"/>
    <w:p>
      <w:pPr>
        <w:pStyle w:val="Heading3"/>
      </w:pPr>
      <w:r>
        <w:t xml:space="preserve">4.2 Cultural Contextualization in Thailand Bangkok</w:t>
      </w:r>
    </w:p>
    <w:p>
      <w:pPr>
        <w:pStyle w:val="FirstParagraph"/>
      </w:pPr>
      <w:r>
        <w:t xml:space="preserve">A critical finding of this report is the necessity of cultural sensitivity. The</w:t>
      </w:r>
      <w:r>
        <w:t xml:space="preserve"> </w:t>
      </w:r>
      <w:r>
        <w:t xml:space="preserve">Special Education Teacher</w:t>
      </w:r>
      <w:r>
        <w:t xml:space="preserve"> </w:t>
      </w:r>
      <w:r>
        <w:t xml:space="preserve">in</w:t>
      </w:r>
      <w:r>
        <w:t xml:space="preserve"> </w:t>
      </w:r>
      <w:r>
        <w:t xml:space="preserve">Thailand Bangkok</w:t>
      </w:r>
      <w:r>
        <w:t xml:space="preserve"> </w:t>
      </w:r>
      <w:r>
        <w:t xml:space="preserve">must navigate complex familial dynamics. In Thai culture, family honor and "saving face" can sometimes lead to delayed diagnosis or reluctance to acknowledge disabilities. Therefore, the teacher's role extends beyond pedagogy to include extensive parent counseling and community advocacy. The report notes that successful</w:t>
      </w:r>
    </w:p>
    <w:p>
      <w:pPr>
        <w:pStyle w:val="BodyText"/>
      </w:pPr>
      <w:r>
        <w:t xml:space="preserve">Special Education Teacher practitioners in Bangkok are those who possess bilingual capabilities (Thai/English) and deep cultural competence.</w:t>
      </w:r>
    </w:p>
    <w:bookmarkEnd w:id="28"/>
    <w:bookmarkStart w:id="29" w:name="infrastructure-challenges-in-the-capital"/>
    <w:p>
      <w:pPr>
        <w:pStyle w:val="Heading3"/>
      </w:pPr>
      <w:r>
        <w:t xml:space="preserve">4.3 Infrastructure Challenges in the Capital</w:t>
      </w:r>
    </w:p>
    <w:p>
      <w:pPr>
        <w:pStyle w:val="FirstParagraph"/>
      </w:pPr>
      <w:r>
        <w:t xml:space="preserve">Bangkok presents unique logistical challenges. High-rise condominiums and dense traffic affect accessibility for students with physical disabilities, impacting their attendance of specialized services. The</w:t>
      </w:r>
    </w:p>
    <w:p>
      <w:pPr>
        <w:pStyle w:val="BodyText"/>
      </w:pPr>
      <w:r>
        <w:t xml:space="preserve">Lab Report data highlights that while the capital has better resources than rural provinces, the disparity between private international schools and public metropolitan schools remains stark. Public school</w:t>
      </w:r>
    </w:p>
    <w:p>
      <w:pPr>
        <w:pStyle w:val="BodyText"/>
      </w:pPr>
      <w:r>
        <w:t xml:space="preserve">Special Education Teachers often manage classes with up to 40 students, making individualized attention difficult without adequate paraprofessional support.</w:t>
      </w:r>
    </w:p>
    <w:bookmarkEnd w:id="29"/>
    <w:bookmarkEnd w:id="30"/>
    <w:bookmarkStart w:id="31" w:name="Xe0cb9812fd1f1ce9cadc95f33a916d9e5bd209a"/>
    <w:p>
      <w:pPr>
        <w:pStyle w:val="Heading2"/>
      </w:pPr>
      <w:r>
        <w:t xml:space="preserve">5. Comparative Analysis: Local vs. International Models</w:t>
      </w:r>
    </w:p>
    <w:p>
      <w:pPr>
        <w:pStyle w:val="FirstParagraph"/>
      </w:pPr>
      <w:r>
        <w:t xml:space="preserve">To provide a holistic view, this section compares the</w:t>
      </w:r>
    </w:p>
    <w:p>
      <w:pPr>
        <w:pStyle w:val="BodyText"/>
      </w:pPr>
      <w:r>
        <w:t xml:space="preserve">Special Education Teacher frameworks in local Thai public schools versus international institutions in</w:t>
      </w:r>
      <w:r>
        <w:t xml:space="preserve"> </w:t>
      </w:r>
      <w:r>
        <w:t xml:space="preserve">Thailand Bangkok</w:t>
      </w:r>
      <w:r>
        <w:t xml:space="preserve">.</w:t>
      </w:r>
    </w:p>
    <w:p>
      <w:pPr>
        <w:pStyle w:val="BodyText"/>
      </w:pPr>
      <w:r>
        <w:rPr>
          <w:bCs/>
          <w:b/>
        </w:rPr>
        <w:t xml:space="preserve">Factor</w:t>
      </w:r>
    </w:p>
    <w:p>
      <w:pPr>
        <w:pStyle w:val="BodyText"/>
      </w:pPr>
      <w:r>
        <w:rPr>
          <w:bCs/>
          <w:b/>
        </w:rPr>
        <w:t xml:space="preserve">Local Thai Public Schools (Bangkok)</w:t>
      </w:r>
    </w:p>
    <w:p>
      <w:pPr>
        <w:pStyle w:val="BodyText"/>
      </w:pPr>
      <w:r>
        <w:t xml:space="preserve">International Schools (Thailand Bangkok) / Strong&gt;&gt;</w:t>
      </w:r>
    </w:p>
    <w:p>
      <w:pPr>
        <w:pStyle w:val="BodyText"/>
      </w:pPr>
      <w:r>
        <w:t xml:space="preserve">&lt; td style =" background-color : #f9f9f9 ;"&gt;&lt; Strong&gt;Teacher-Student Ratio</w:t>
      </w:r>
    </w:p>
    <w:p>
      <w:pPr>
        <w:pStyle w:val="BodyText"/>
      </w:pPr>
      <w:r>
        <w:t xml:space="preserve">1:40 or higher</w:t>
      </w:r>
    </w:p>
    <w:p>
      <w:pPr>
        <w:pStyle w:val="BodyText"/>
      </w:pPr>
      <w:r>
        <w:t xml:space="preserve">1:8 to 1:12 (with support staff)</w:t>
      </w:r>
    </w:p>
    <w:p>
      <w:pPr>
        <w:pStyle w:val="BodyText"/>
      </w:pPr>
      <w:r>
        <w:t xml:space="preserve">&lt; td &gt;&lt; Strong&gt;Pedagogical Focus</w:t>
      </w:r>
    </w:p>
    <w:p>
      <w:pPr>
        <w:pStyle w:val="BodyText"/>
      </w:pPr>
      <w:r>
        <w:t xml:space="preserve">&lt; Strong&gt;Behavioral &amp; Academic Remediation&lt; / TR&gt;&lt; TR STYLE="BACKGROUND-COLOR:#F9F9F9;"&gt;</w:t>
      </w:r>
    </w:p>
    <w:p>
      <w:pPr>
        <w:pStyle w:val="BodyText"/>
      </w:pPr>
      <w:r>
        <w:t xml:space="preserve">Support Staff Availability</w:t>
      </w:r>
    </w:p>
    <w:p>
      <w:pPr>
        <w:pStyle w:val="BodyText"/>
      </w:pPr>
      <w:r>
        <w:t xml:space="preserve">Occasional Resource Room Teachers</w:t>
      </w:r>
    </w:p>
    <w:p>
      <w:pPr>
        <w:pStyle w:val="BodyText"/>
      </w:pPr>
      <w:r>
        <w:t xml:space="preserve">Dedicated Aides, OTs, and Speech Therapists on-site</w:t>
      </w:r>
    </w:p>
    <w:p>
      <w:pPr>
        <w:pStyle w:val="BodyText"/>
      </w:pPr>
      <w:r>
        <w:t xml:space="preserve">&lt; td &gt;&lt; Strong&gt;Cultural Integration Strategy&lt; / TD&gt;&lt; td data-value =" Blended Western-Thai Approaches "&gt;&lt; Strong&gt;Traditional Academic Structure&lt; / TR&gt;&lt; TR STYLE="BACKGROUND-COLOR:#F9F9F9;"&gt;</w:t>
      </w:r>
    </w:p>
    <w:p>
      <w:pPr>
        <w:pStyle w:val="BodyText"/>
      </w:pPr>
      <w:r>
        <w:t xml:space="preserve">Policy Enforcement</w:t>
      </w:r>
    </w:p>
    <w:p>
      <w:pPr>
        <w:pStyle w:val="BodyText"/>
      </w:pPr>
      <w:r>
        <w:t xml:space="preserve">Slow adoption of inclusion laws</w:t>
      </w:r>
    </w:p>
    <w:p>
      <w:pPr>
        <w:pStyle w:val="BodyText"/>
      </w:pPr>
      <w:r>
        <w:t xml:space="preserve">&lt; td style =" background-color : #f9f9f 27ae60; font-weight: bold; color: white;" colspan="2" style =" text-align:center;"&gt;Conclusion on Disparities in Special Education Resources in Thailand Bangkok</w:t>
      </w:r>
    </w:p>
    <w:p>
      <w:pPr>
        <w:pStyle w:val="BodyText"/>
      </w:pPr>
      <w:r>
        <w:t xml:space="preserve">&lt; / TR&gt;&lt; / TBODY&gt;</w:t>
      </w:r>
    </w:p>
    <w:bookmarkEnd w:id="31"/>
    <w:bookmarkStart w:id="32" w:name="discussion-and-implications"/>
    <w:p>
      <w:pPr>
        <w:pStyle w:val="Heading2"/>
      </w:pPr>
      <w:r>
        <w:t xml:space="preserve">6. Discussion and Implications</w:t>
      </w:r>
    </w:p>
    <w:p>
      <w:pPr>
        <w:pStyle w:val="FirstParagraph"/>
      </w:pPr>
      <w:r>
        <w:t xml:space="preserve">The data collected for this</w:t>
      </w:r>
    </w:p>
    <w:p>
      <w:pPr>
        <w:pStyle w:val="BodyText"/>
      </w:pPr>
      <w:r>
        <w:t xml:space="preserve">Lab Report underscores that while the title of</w:t>
      </w:r>
    </w:p>
    <w:p>
      <w:pPr>
        <w:pStyle w:val="BodyText"/>
      </w:pPr>
      <w:r>
        <w:t xml:space="preserve">Special Education Teacher is increasingly recognized in</w:t>
      </w:r>
    </w:p>
    <w:p>
      <w:pPr>
        <w:pStyle w:val="BodyText"/>
      </w:pPr>
      <w:r>
        <w:t xml:space="preserve">Thailand Bangkok, the implementation varies wildly. The "laboratory" of education in Bangkok is currently an experiment in balancing rapid urban development with inclusive social policies.</w:t>
      </w:r>
    </w:p>
    <w:p>
      <w:pPr>
        <w:pStyle w:val="BodyText"/>
      </w:pPr>
      <w:r>
        <w:t xml:space="preserve">The findings suggest that the</w:t>
      </w:r>
    </w:p>
    <w:p>
      <w:pPr>
        <w:pStyle w:val="BodyText"/>
      </w:pPr>
      <w:r>
        <w:t xml:space="preserve">Special Education Teacher is not merely an academic instructor but a pivotal agent of social change. In</w:t>
      </w:r>
    </w:p>
    <w:p>
      <w:pPr>
        <w:pStyle w:val="BodyText"/>
      </w:pPr>
      <w:r>
        <w:t xml:space="preserve">Thailand Bangkok, these professionals are often the bridge between rigid educational structures and the flexible needs of diverse learners. The report identifies a critical shortage of trained specialists in public sector schools, leading to burnout among existing staff.</w:t>
      </w:r>
    </w:p>
    <w:bookmarkEnd w:id="32"/>
    <w:bookmarkStart w:id="33" w:name="recommendations"/>
    <w:p>
      <w:pPr>
        <w:pStyle w:val="Heading2"/>
      </w:pPr>
      <w:r>
        <w:t xml:space="preserve">7. Recommendations</w:t>
      </w:r>
    </w:p>
    <w:p>
      <w:pPr>
        <w:pStyle w:val="FirstParagraph"/>
      </w:pPr>
      <w:r>
        <w:t xml:space="preserve">Based on the analysis conducted for this</w:t>
      </w:r>
    </w:p>
    <w:p>
      <w:pPr>
        <w:pStyle w:val="BodyText"/>
      </w:pPr>
      <w:r>
        <w:t xml:space="preserve">Lab Report, the following recommendations are proposed for stakeholders in</w:t>
      </w:r>
      <w:r>
        <w:t xml:space="preserve"> </w:t>
      </w:r>
      <w:r>
        <w:t xml:space="preserve">Thailand Bangkok</w:t>
      </w:r>
      <w:r>
        <w:t xml:space="preserve">:</w:t>
      </w:r>
    </w:p>
    <w:p>
      <w:pPr>
        <w:numPr>
          <w:ilvl w:val="0"/>
          <w:numId w:val="1003"/>
        </w:numPr>
        <w:pStyle w:val="Compact"/>
      </w:pPr>
      <w:r>
        <w:rPr>
          <w:bCs/>
          <w:b/>
        </w:rPr>
        <w:t xml:space="preserve">Policy Reform:</w:t>
      </w:r>
      <w:r>
        <w:t xml:space="preserve"> </w:t>
      </w:r>
      <w:r>
        <w:t xml:space="preserve">The Ministry of Education must enforce stricter student-teacher ratios for special needs classrooms in public schools across Bangkok.</w:t>
      </w:r>
    </w:p>
    <w:p>
      <w:pPr>
        <w:numPr>
          <w:ilvl w:val="0"/>
          <w:numId w:val="1003"/>
        </w:numPr>
        <w:pStyle w:val="Compact"/>
      </w:pPr>
      <w:r>
        <w:rPr>
          <w:bCs/>
          <w:b/>
        </w:rPr>
        <w:t xml:space="preserve">Professional Development:</w:t>
      </w:r>
      <w:r>
        <w:t xml:space="preserve"> </w:t>
      </w:r>
      <w:r>
        <w:t xml:space="preserve">Continuous training programs for</w:t>
      </w:r>
    </w:p>
    <w:p>
      <w:pPr>
        <w:numPr>
          <w:ilvl w:val="0"/>
          <w:numId w:val="1000"/>
        </w:numPr>
        <w:pStyle w:val="Compact"/>
      </w:pPr>
      <w:r>
        <w:t xml:space="preserve">Special Education Teachers in</w:t>
      </w:r>
    </w:p>
    <w:p>
      <w:pPr>
        <w:numPr>
          <w:ilvl w:val="0"/>
          <w:numId w:val="1000"/>
        </w:numPr>
        <w:pStyle w:val="Compact"/>
      </w:pPr>
      <w:r>
        <w:t xml:space="preserve">Thailand Bangkok should focus on modern assistive technologies and trauma-informed care.</w:t>
      </w:r>
    </w:p>
    <w:p>
      <w:pPr>
        <w:numPr>
          <w:ilvl w:val="0"/>
          <w:numId w:val="1003"/>
        </w:numPr>
        <w:pStyle w:val="Compact"/>
      </w:pPr>
      <w:r>
        <w:rPr>
          <w:bCs/>
          <w:b/>
        </w:rPr>
        <w:t xml:space="preserve">Community Engagement:</w:t>
      </w:r>
      <w:r>
        <w:t xml:space="preserve"> </w:t>
      </w:r>
      <w:r>
        <w:t xml:space="preserve">Initiatives to reduce stigma around disability in</w:t>
      </w:r>
    </w:p>
    <w:p>
      <w:pPr>
        <w:numPr>
          <w:ilvl w:val="0"/>
          <w:numId w:val="1000"/>
        </w:numPr>
        <w:pStyle w:val="Compact"/>
      </w:pPr>
      <w:r>
        <w:t xml:space="preserve">Thailand Bangkok must involve</w:t>
      </w:r>
    </w:p>
    <w:p>
      <w:pPr>
        <w:numPr>
          <w:ilvl w:val="0"/>
          <w:numId w:val="1000"/>
        </w:numPr>
        <w:pStyle w:val="Compact"/>
      </w:pPr>
      <w:r>
        <w:t xml:space="preserve">Special Education Teachers as community leaders and educators for parents.</w:t>
      </w:r>
    </w:p>
    <w:p>
      <w:pPr>
        <w:numPr>
          <w:ilvl w:val="0"/>
          <w:numId w:val="1003"/>
        </w:numPr>
        <w:pStyle w:val="Compact"/>
      </w:pPr>
      <w:r>
        <w:rPr>
          <w:bCs/>
          <w:b/>
        </w:rPr>
        <w:t xml:space="preserve">Cross-Sector Collaboration:</w:t>
      </w:r>
      <w:r>
        <w:t xml:space="preserve"> </w:t>
      </w:r>
      <w:r>
        <w:t xml:space="preserve">International schools in</w:t>
      </w:r>
    </w:p>
    <w:p>
      <w:pPr>
        <w:numPr>
          <w:ilvl w:val="0"/>
          <w:numId w:val="1000"/>
        </w:numPr>
        <w:pStyle w:val="Compact"/>
      </w:pPr>
      <w:r>
        <w:t xml:space="preserve">Thailand Bangkok should partner with public institutions to share resources and best practices, leveraging the expertise of their</w:t>
      </w:r>
    </w:p>
    <w:p>
      <w:pPr>
        <w:numPr>
          <w:ilvl w:val="0"/>
          <w:numId w:val="1000"/>
        </w:numPr>
        <w:pStyle w:val="Compact"/>
      </w:pPr>
      <w:r>
        <w:t xml:space="preserve">Special Education Teachers.</w:t>
      </w:r>
    </w:p>
    <w:p>
      <w:pPr>
        <w:pStyle w:val="FirstParagraph"/>
      </w:pPr>
      <w:r>
        <w:t xml:space="preserve">H2 CLASS =" SECTION-TITLE "&gt;8. Conclusion&lt; / H2&gt;&lt; P STYLE =" COLOR:#666;"&gt;In conclusion, this</w:t>
      </w:r>
    </w:p>
    <w:p>
      <w:pPr>
        <w:pStyle w:val="BodyText"/>
      </w:pPr>
      <w:r>
        <w:t xml:space="preserve">Lab Report highlights that the role of the</w:t>
      </w:r>
    </w:p>
    <w:p>
      <w:pPr>
        <w:pStyle w:val="BodyText"/>
      </w:pPr>
      <w:r>
        <w:t xml:space="preserve">Special Education Teacher in</w:t>
      </w:r>
    </w:p>
    <w:p>
      <w:pPr>
        <w:pStyle w:val="BodyText"/>
      </w:pPr>
      <w:r>
        <w:t xml:space="preserve">Thailand Bangkok is at a critical juncture. The capital city serves as a unique testing ground where traditional Thai values meet modern inclusive education demands. While challenges regarding resources and cultural stigma persist, the dedication of these specialized educators offers a pathway toward a more equitable educational system. Future studies should continue to monitor the longitudinal impact of these teaching frameworks on student independence and social integration within the vibrant, complex landscape of Bangkok.</w:t>
      </w:r>
    </w:p>
    <w:p>
      <w:pPr>
        <w:pStyle w:val="BodyText"/>
      </w:pPr>
      <w:r>
        <w:rPr>
          <w:iCs/>
          <w:i/>
        </w:rPr>
        <w:t xml:space="preserve">End of Lab Report Document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Special Education Teacher Frameworks in Thailand Bangkok</dc:title>
  <dc:creator/>
  <dc:language>en</dc:language>
  <cp:keywords/>
  <dcterms:created xsi:type="dcterms:W3CDTF">2026-07-29T17:15:47Z</dcterms:created>
  <dcterms:modified xsi:type="dcterms:W3CDTF">2026-07-29T17:15:47Z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