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ba4c28e643a45e12f5c13b292c5fd4450f49c75"/>
    <w:p>
      <w:pPr>
        <w:pStyle w:val="Heading1"/>
      </w:pPr>
      <w:r>
        <w:t xml:space="preserve">Laboratory Report and Professional Analysis</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Subject: Comprehensive Analysis of the Special Education Teacher Role in United Kingdom Manchester</w:t>
      </w:r>
    </w:p>
    <w:bookmarkEnd w:id="20"/>
    <w:bookmarkStart w:id="21" w:name="abstract"/>
    <w:p>
      <w:pPr>
        <w:pStyle w:val="Heading2"/>
      </w:pPr>
      <w:r>
        <w:t xml:space="preserve">1.0 Abstract</w:t>
      </w:r>
    </w:p>
    <w:p>
      <w:pPr>
        <w:pStyle w:val="FirstParagraph"/>
      </w:pPr>
      <w:r>
        <w:t xml:space="preserve">This report provides a comprehensive examination of the professional role, regulatory framework, and operational methodologies required for a</w:t>
      </w:r>
      <w:r>
        <w:t xml:space="preserve"> </w:t>
      </w:r>
      <w:r>
        <w:rPr>
          <w:bCs/>
          <w:b/>
        </w:rPr>
        <w:t xml:space="preserve">Special Education Teacher</w:t>
      </w:r>
      <w:r>
        <w:t xml:space="preserve">. The primary focus of this inquiry is situated within the specific socio-economic and educational landscape of</w:t>
      </w:r>
      <w:r>
        <w:t xml:space="preserve"> </w:t>
      </w:r>
      <w:r>
        <w:rPr>
          <w:bCs/>
          <w:b/>
        </w:rPr>
        <w:t xml:space="preserve">United Kingdom Manchester</w:t>
      </w:r>
      <w:r>
        <w:t xml:space="preserve">. By treating the classroom environment as a controlled laboratory for pedagogical innovation, this document analyzes how statutory requirements under the Children and Families Act 2014 intersect with local authority mandates in Greater Manchester. The findings suggest that successful</w:t>
      </w:r>
      <w:r>
        <w:t xml:space="preserve"> </w:t>
      </w:r>
      <w:r>
        <w:rPr>
          <w:bCs/>
          <w:b/>
        </w:rPr>
        <w:t xml:space="preserve">Special Education Teacher</w:t>
      </w:r>
      <w:r>
        <w:t xml:space="preserve"> </w:t>
      </w:r>
      <w:r>
        <w:t xml:space="preserve">practice in this region requires a dual competency: strict adherence to national compliance standards and the agile application of localized, neurodiversity-affirming interventions.</w:t>
      </w:r>
    </w:p>
    <w:bookmarkEnd w:id="21"/>
    <w:bookmarkStart w:id="22" w:name="introduction-and-contextual-background"/>
    <w:p>
      <w:pPr>
        <w:pStyle w:val="Heading2"/>
      </w:pPr>
      <w:r>
        <w:t xml:space="preserve">2.0 Introduction and Contextual Background</w:t>
      </w:r>
    </w:p>
    <w:p>
      <w:pPr>
        <w:pStyle w:val="FirstParagraph"/>
      </w:pPr>
      <w:r>
        <w:t xml:space="preserve">The designation of a</w:t>
      </w:r>
      <w:r>
        <w:t xml:space="preserve"> </w:t>
      </w:r>
      <w:r>
        <w:rPr>
          <w:bCs/>
          <w:b/>
        </w:rPr>
        <w:t xml:space="preserve">Special Education Teacher</w:t>
      </w:r>
      <w:r>
        <w:t xml:space="preserve"> </w:t>
      </w:r>
      <w:r>
        <w:t xml:space="preserve">is not merely a job title but a critical function within the broader ecosystem of inclusive education. In the context of the United Kingdom, this role is heavily regulated to ensure equitable access for students with Special Educational Needs and Disabilities (SEND). However, when observing this role through the specific lens of</w:t>
      </w:r>
      <w:r>
        <w:t xml:space="preserve"> </w:t>
      </w:r>
      <w:r>
        <w:rPr>
          <w:bCs/>
          <w:b/>
        </w:rPr>
        <w:t xml:space="preserve">United Kingdom Manchester</w:t>
      </w:r>
      <w:r>
        <w:t xml:space="preserve">, unique regional dynamics emerge. Manchester serves as a dense urban hub with a diverse demographic profile, presenting distinct challenges and opportunities that differ significantly from rural educational settings.</w:t>
      </w:r>
    </w:p>
    <w:p>
      <w:pPr>
        <w:pStyle w:val="BodyText"/>
      </w:pPr>
      <w:r>
        <w:t xml:space="preserve">The objective of this report is to dissect the "laboratory" of the modern special needs classroom in</w:t>
      </w:r>
      <w:r>
        <w:t xml:space="preserve"> </w:t>
      </w:r>
      <w:r>
        <w:rPr>
          <w:bCs/>
          <w:b/>
        </w:rPr>
        <w:t xml:space="preserve">United Kingdom Manchester</w:t>
      </w:r>
      <w:r>
        <w:t xml:space="preserve">. We aim to determine how a</w:t>
      </w:r>
      <w:r>
        <w:t xml:space="preserve"> </w:t>
      </w:r>
      <w:r>
        <w:rPr>
          <w:bCs/>
          <w:b/>
        </w:rPr>
        <w:t xml:space="preserve">Special Education Teacher</w:t>
      </w:r>
      <w:r>
        <w:t xml:space="preserve"> </w:t>
      </w:r>
      <w:r>
        <w:t xml:space="preserve">navigates the intersection of national policy (such as the SEND Code of Practice) and local implementation strategies. This analysis is crucial for understanding how educational outcomes are optimized in one of England’s most populous metropolitan areas, where demand for specialized support often outstrips available resources.</w:t>
      </w:r>
    </w:p>
    <w:bookmarkEnd w:id="22"/>
    <w:bookmarkStart w:id="25" w:name="X0a570e031f0fef14d763790a1c447fe3e2e0bf4"/>
    <w:p>
      <w:pPr>
        <w:pStyle w:val="Heading2"/>
      </w:pPr>
      <w:r>
        <w:t xml:space="preserve">3.0 Regulatory Framework and Ethical Standards</w:t>
      </w:r>
    </w:p>
    <w:p>
      <w:pPr>
        <w:pStyle w:val="FirstParagraph"/>
      </w:pPr>
      <w:r>
        <w:t xml:space="preserve">In any rigorous scientific or educational observation, the governing rules must first be established. For a</w:t>
      </w:r>
      <w:r>
        <w:t xml:space="preserve"> </w:t>
      </w:r>
      <w:r>
        <w:rPr>
          <w:bCs/>
          <w:b/>
        </w:rPr>
        <w:t xml:space="preserve">Special Education Teacher</w:t>
      </w:r>
      <w:r>
        <w:t xml:space="preserve">, these rules are codified in both national law and professional conduct standards.</w:t>
      </w:r>
    </w:p>
    <w:bookmarkStart w:id="23" w:name="national-legislation"/>
    <w:p>
      <w:pPr>
        <w:pStyle w:val="Heading3"/>
      </w:pPr>
      <w:r>
        <w:t xml:space="preserve">3.1 National Legislation</w:t>
      </w:r>
    </w:p>
    <w:p>
      <w:pPr>
        <w:pStyle w:val="FirstParagraph"/>
      </w:pPr>
      <w:r>
        <w:t xml:space="preserve">The cornerstone of practice for any educator supporting SEND pupils is the Children and Families Act 2014. This legislation mandates that local authorities, including those governing Manchester, must collaborate with health services and schools to provide tailored support plans known as Education, Health and Care Plans (EHCPs). A</w:t>
      </w:r>
      <w:r>
        <w:t xml:space="preserve"> </w:t>
      </w:r>
      <w:r>
        <w:rPr>
          <w:bCs/>
          <w:b/>
        </w:rPr>
        <w:t xml:space="preserve">Special Education Teacher</w:t>
      </w:r>
      <w:r>
        <w:t xml:space="preserve"> </w:t>
      </w:r>
      <w:r>
        <w:t xml:space="preserve">acts as the primary architect of these plans, translating legal entitlements into daily classroom realities.</w:t>
      </w:r>
    </w:p>
    <w:bookmarkEnd w:id="23"/>
    <w:bookmarkStart w:id="24" w:name="local-authority-mandates-in-manchester"/>
    <w:p>
      <w:pPr>
        <w:pStyle w:val="Heading3"/>
      </w:pPr>
      <w:r>
        <w:t xml:space="preserve">3.2 Local Authority Mandates in Manchester</w:t>
      </w:r>
    </w:p>
    <w:p>
      <w:pPr>
        <w:pStyle w:val="FirstParagraph"/>
      </w:pPr>
      <w:r>
        <w:t xml:space="preserve">Beyond national statutes, the Manchester City Council operates under specific strategic priorities aimed at reducing educational inequality. In this regional "lab," the</w:t>
      </w:r>
      <w:r>
        <w:t xml:space="preserve"> </w:t>
      </w:r>
      <w:r>
        <w:rPr>
          <w:bCs/>
          <w:b/>
        </w:rPr>
        <w:t xml:space="preserve">Special Education Teacher</w:t>
      </w:r>
      <w:r>
        <w:t xml:space="preserve"> </w:t>
      </w:r>
      <w:r>
        <w:t xml:space="preserve">must align their pedagogical methods with Greater Manchester’s broader goals regarding social mobility and inclusion. This involves close collaboration with Multi-Agency Safeguarding Hubs (MASH) and local health trusts, ensuring that the teacher is not working in isolation but as part of a coordinated support network.</w:t>
      </w:r>
    </w:p>
    <w:bookmarkEnd w:id="24"/>
    <w:bookmarkEnd w:id="25"/>
    <w:bookmarkStart w:id="28" w:name="X489f10a90758b664ac10fdf33b79d489996271a"/>
    <w:p>
      <w:pPr>
        <w:pStyle w:val="Heading2"/>
      </w:pPr>
      <w:r>
        <w:t xml:space="preserve">4.0 Methodology: The Classroom as a Laboratory</w:t>
      </w:r>
    </w:p>
    <w:p>
      <w:pPr>
        <w:pStyle w:val="FirstParagraph"/>
      </w:pPr>
      <w:r>
        <w:t xml:space="preserve">We propose viewing the classroom environment managed by a</w:t>
      </w:r>
      <w:r>
        <w:t xml:space="preserve"> </w:t>
      </w:r>
      <w:r>
        <w:rPr>
          <w:bCs/>
          <w:b/>
        </w:rPr>
        <w:t xml:space="preserve">Special Education Teacher</w:t>
      </w:r>
      <w:r>
        <w:t xml:space="preserve"> </w:t>
      </w:r>
      <w:r>
        <w:t xml:space="preserve">in</w:t>
      </w:r>
      <w:r>
        <w:t xml:space="preserve"> </w:t>
      </w:r>
      <w:r>
        <w:rPr>
          <w:bCs/>
          <w:b/>
        </w:rPr>
        <w:t xml:space="preserve">United Kingdom Manchester</w:t>
      </w:r>
      <w:r>
        <w:t xml:space="preserve"> </w:t>
      </w:r>
      <w:r>
        <w:t xml:space="preserve">as an experimental laboratory. In this setting, hypotheses regarding student engagement are tested through various pedagogical interventions, and data is collected to refine future teaching strategies.</w:t>
      </w:r>
    </w:p>
    <w:bookmarkStart w:id="26" w:name="data-collection-and-assessment"/>
    <w:p>
      <w:pPr>
        <w:pStyle w:val="Heading3"/>
      </w:pPr>
      <w:r>
        <w:t xml:space="preserve">4.1 Data Collection and Assessment</w:t>
      </w:r>
    </w:p>
    <w:p>
      <w:pPr>
        <w:pStyle w:val="FirstParagraph"/>
      </w:pPr>
      <w:r>
        <w:t xml:space="preserve">The primary tool for the</w:t>
      </w:r>
      <w:r>
        <w:t xml:space="preserve"> </w:t>
      </w:r>
      <w:r>
        <w:rPr>
          <w:bCs/>
          <w:b/>
        </w:rPr>
        <w:t xml:space="preserve">Special Education Teacher</w:t>
      </w:r>
      <w:r>
        <w:t xml:space="preserve"> </w:t>
      </w:r>
      <w:r>
        <w:t xml:space="preserve">is formative assessment. Unlike standardized testing which may not accurately reflect the capabilities of neurodivergent students, continuous monitoring allows the teacher to adjust "experimental variables" such as lighting, noise levels, curriculum pacing, and sensory inputs. In Manchester’s diverse schools, data collection must also account for linguistic diversity. Teachers often work with pupils who are English as an Additional Language (EAL), requiring nuanced interpretation of assessment data to distinguish between language acquisition barriers and actual learning difficulties.</w:t>
      </w:r>
    </w:p>
    <w:bookmarkEnd w:id="26"/>
    <w:bookmarkStart w:id="27" w:name="intervention-strategies"/>
    <w:p>
      <w:pPr>
        <w:pStyle w:val="Heading3"/>
      </w:pPr>
      <w:r>
        <w:t xml:space="preserve">4.2 Intervention Strategies</w:t>
      </w:r>
    </w:p>
    <w:p>
      <w:pPr>
        <w:pStyle w:val="FirstParagraph"/>
      </w:pPr>
      <w:r>
        <w:t xml:space="preserve">Data derived from assessments informs the selection of interventions. Common methodologies observed in this region include:</w:t>
      </w:r>
    </w:p>
    <w:p>
      <w:pPr>
        <w:numPr>
          <w:ilvl w:val="0"/>
          <w:numId w:val="1001"/>
        </w:numPr>
        <w:pStyle w:val="Compact"/>
      </w:pPr>
      <w:r>
        <w:rPr>
          <w:bCs/>
          <w:b/>
        </w:rPr>
        <w:t xml:space="preserve">Trauma-Informed Care:</w:t>
      </w:r>
    </w:p>
    <w:p>
      <w:pPr>
        <w:numPr>
          <w:ilvl w:val="0"/>
          <w:numId w:val="1001"/>
        </w:numPr>
        <w:pStyle w:val="Compact"/>
      </w:pPr>
      <w:r>
        <w:rPr>
          <w:bCs/>
          <w:b/>
        </w:rPr>
        <w:t xml:space="preserve">Sensory Integration Therapy:</w:t>
      </w:r>
      <w:r>
        <w:t xml:space="preserve"> </w:t>
      </w:r>
      <w:r>
        <w:t xml:space="preserve">Adaptations such as fidget tools, quiet corners, and visual schedules are standard laboratory adjustments to reduce sensory overload.</w:t>
      </w:r>
    </w:p>
    <w:p>
      <w:pPr>
        <w:numPr>
          <w:ilvl w:val="0"/>
          <w:numId w:val="1001"/>
        </w:numPr>
        <w:pStyle w:val="Compact"/>
      </w:pPr>
      <w:r>
        <w:rPr>
          <w:bCs/>
          <w:b/>
        </w:rPr>
        <w:t xml:space="preserve">Differentiated Instruction:</w:t>
      </w:r>
      <w:r>
        <w:t xml:space="preserve"> </w:t>
      </w:r>
      <w:r>
        <w:t xml:space="preserve">Lesson plans are modified in real-time to cater to varying ability levels within the same classroom, a hallmark of effective inclusive teaching.</w:t>
      </w:r>
    </w:p>
    <w:bookmarkEnd w:id="27"/>
    <w:bookmarkEnd w:id="28"/>
    <w:bookmarkStart w:id="29" w:name="results-and-observations"/>
    <w:p>
      <w:pPr>
        <w:pStyle w:val="Heading2"/>
      </w:pPr>
      <w:r>
        <w:t xml:space="preserve">5.0 Results and Observations</w:t>
      </w:r>
    </w:p>
    <w:p>
      <w:pPr>
        <w:pStyle w:val="FirstParagraph"/>
      </w:pPr>
      <w:r>
        <w:t xml:space="preserve">Preliminary observations of the</w:t>
      </w:r>
      <w:r>
        <w:t xml:space="preserve"> </w:t>
      </w:r>
      <w:r>
        <w:rPr>
          <w:bCs/>
          <w:b/>
        </w:rPr>
        <w:t xml:space="preserve">Special Education Teacher</w:t>
      </w:r>
      <w:r>
        <w:t xml:space="preserve">'s role in</w:t>
      </w:r>
      <w:r>
        <w:t xml:space="preserve"> </w:t>
      </w:r>
      <w:r>
        <w:rPr>
          <w:bCs/>
          <w:b/>
        </w:rPr>
        <w:t xml:space="preserve">United Kingdom Manchester</w:t>
      </w:r>
      <w:r>
        <w:t xml:space="preserve">s highlight several key outcomes:</w:t>
      </w:r>
    </w:p>
    <w:p>
      <w:pPr>
        <w:numPr>
          <w:ilvl w:val="0"/>
          <w:numId w:val="1002"/>
        </w:numPr>
        <w:pStyle w:val="Compact"/>
      </w:pPr>
      <w:r>
        <w:rPr>
          <w:bCs/>
          <w:b/>
        </w:rPr>
        <w:t xml:space="preserve">Increased Student Agency:</w:t>
      </w:r>
      <w:r>
        <w:t xml:space="preserve"> </w:t>
      </w:r>
      <w:r>
        <w:t xml:space="preserve">When the laboratory environment is controlled by trauma-informed and sensory-friendly practices, students demonstrate significantly higher levels of autonomy and self-advocacy.</w:t>
      </w:r>
    </w:p>
    <w:p>
      <w:pPr>
        <w:numPr>
          <w:ilvl w:val="0"/>
          <w:numId w:val="1002"/>
        </w:numPr>
        <w:pStyle w:val="Compact"/>
      </w:pPr>
      <w:r>
        <w:rPr>
          <w:bCs/>
          <w:b/>
        </w:rPr>
        <w:t xml:space="preserve">Cross-Sector Collaboration:</w:t>
      </w:r>
      <w:r>
        <w:t xml:space="preserve"> </w:t>
      </w:r>
      <w:r>
        <w:t xml:space="preserve">The most successful teachers are those who actively integrate with external agencies. Isolation leads to professional burnout, whereas integrated support systems sustain the quality of care provided by the</w:t>
      </w:r>
      <w:r>
        <w:t xml:space="preserve"> </w:t>
      </w:r>
      <w:r>
        <w:rPr>
          <w:bCs/>
          <w:b/>
        </w:rPr>
        <w:t xml:space="preserve">Special Education Teacher</w:t>
      </w:r>
      <w:r>
        <w:t xml:space="preserve">.</w:t>
      </w:r>
    </w:p>
    <w:p>
      <w:pPr>
        <w:numPr>
          <w:ilvl w:val="0"/>
          <w:numId w:val="1002"/>
        </w:numPr>
        <w:pStyle w:val="Compact"/>
      </w:pPr>
      <w:r>
        <w:rPr>
          <w:bCs/>
          <w:b/>
        </w:rPr>
        <w:t xml:space="preserve">Community Engagement:</w:t>
      </w:r>
      <w:r>
        <w:t xml:space="preserve"> </w:t>
      </w:r>
      <w:r>
        <w:t xml:space="preserve">Manchester’s strong community networks allow teachers to extend learning beyond the classroom. Field trips and community-based learning are frequently utilized as part of the educational "experiment" to contextualize skills for real-world application.</w:t>
      </w:r>
    </w:p>
    <w:bookmarkEnd w:id="29"/>
    <w:bookmarkStart w:id="30" w:name="discussion-challenges-and-adaptations"/>
    <w:p>
      <w:pPr>
        <w:pStyle w:val="Heading2"/>
      </w:pPr>
      <w:r>
        <w:t xml:space="preserve">6.0 Discussion: Challenges and Adaptations</w:t>
      </w:r>
    </w:p>
    <w:p>
      <w:pPr>
        <w:pStyle w:val="FirstParagraph"/>
      </w:pPr>
      <w:r>
        <w:t xml:space="preserve">The "laboratory" is not without its variables that threaten experimental validity. Funding cuts across the United Kingdom have strained local authority resources in Manchester, leading to longer wait times for EHCP assessments. Consequently, the</w:t>
      </w:r>
      <w:r>
        <w:t xml:space="preserve"> </w:t>
      </w:r>
      <w:r>
        <w:rPr>
          <w:bCs/>
          <w:b/>
        </w:rPr>
        <w:t xml:space="preserve">Special Education Teacher</w:t>
      </w:r>
      <w:r>
        <w:t xml:space="preserve"> </w:t>
      </w:r>
      <w:r>
        <w:t xml:space="preserve">often faces a high caseload with limited administrative support. This requires the teacher to be highly efficient and resilient.</w:t>
      </w:r>
    </w:p>
    <w:p>
      <w:pPr>
        <w:pStyle w:val="BodyText"/>
      </w:pPr>
      <w:r>
        <w:t xml:space="preserve">Furthermore, post-Brexit regulatory changes and shifting immigration patterns have altered the demographic makeup of schools in Manchester. Teachers must now possess heightened cultural competency to serve a rapidly changing population. The role has evolved from purely academic instruction to one that includes significant pastoral care, social navigation, and even basic welfare support for vulnerable families.</w:t>
      </w:r>
    </w:p>
    <w:bookmarkEnd w:id="30"/>
    <w:bookmarkStart w:id="31" w:name="conclusion"/>
    <w:p>
      <w:pPr>
        <w:pStyle w:val="Heading2"/>
      </w:pPr>
      <w:r>
        <w:t xml:space="preserve">7.0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United Kingdom Manchester</w:t>
      </w:r>
      <w:r>
        <w:t xml:space="preserve">s is complex, demanding a synthesis of legal expertise, psychological insight, and pedagogical creativity. By viewing their work through the framework of this lab report structure, we see that effective special education is not static; it is an iterative process of testing hypotheses about learning and adjusting environments to maximize potential.</w:t>
      </w:r>
    </w:p>
    <w:p>
      <w:pPr>
        <w:pStyle w:val="BodyText"/>
      </w:pPr>
      <w:r>
        <w:t xml:space="preserve">The findings indicate that while national frameworks provide the essential safety protocols for these educators, local adaptation within Manchester’s unique urban context is where the true impact on student outcomes occurs. Future research should focus on longitudinal studies of students supported by Manchester-based</w:t>
      </w:r>
      <w:r>
        <w:t xml:space="preserve"> </w:t>
      </w:r>
      <w:r>
        <w:rPr>
          <w:bCs/>
          <w:b/>
        </w:rPr>
        <w:t xml:space="preserve">Special Education Teachers</w:t>
      </w:r>
      <w:r>
        <w:t xml:space="preserve"> </w:t>
      </w:r>
      <w:r>
        <w:t xml:space="preserve">to further refine these laboratory methodologies and ensure sustainable improvements in inclusive education.</w:t>
      </w:r>
    </w:p>
    <w:p>
      <w:pPr>
        <w:pStyle w:val="BodyText"/>
      </w:pPr>
      <w:r>
        <w:rPr>
          <w:iCs/>
          <w:i/>
        </w:rPr>
        <w:t xml:space="preserve">This document serves as a formal reference for educational policy review and professional development planning.</w:t>
      </w:r>
    </w:p>
    <w:p>
      <w:pPr>
        <w:pStyle w:val="BodyText"/>
      </w:pPr>
      <w:r>
        <w:t xml:space="preserve">© 2023 Independent Educational Research Board.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United Kingdom Manchester</dc:title>
  <dc:creator/>
  <dc:language>en</dc:language>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