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Methodology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br/>
      </w:r>
      <w:r>
        <w:rPr>
          <w:iCs/>
          <w:i/>
          <w:bCs/>
          <w:b/>
        </w:rPr>
        <w:t xml:space="preserve">(Laboratory Work)</w:t>
      </w:r>
      <w:r>
        <w:br/>
      </w:r>
      <w:r>
        <w:br/>
      </w:r>
    </w:p>
    <w:bookmarkEnd w:id="20"/>
    <w:bookmarkStart w:id="21" w:name="laboratory-analysis-report-lab-work"/>
    <w:p>
      <w:pPr>
        <w:pStyle w:val="Heading1"/>
      </w:pPr>
      <w:r>
        <w:t xml:space="preserve">Laboratory Analysis Report</w:t>
      </w:r>
      <w:r>
        <w:br/>
      </w:r>
      <w:r>
        <w:t xml:space="preserve">(Lab Work)</w:t>
      </w:r>
    </w:p>
    <w:p>
      <w:pPr>
        <w:pStyle w:val="FirstParagraph"/>
      </w:pPr>
      <w:r>
        <w:br/>
      </w: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 : The Role and Methodology of the Statistician in Japan Tokyo</dc:title>
  <dc:creator/>
  <dc:language>en</dc:language>
  <cp:keywords/>
  <dcterms:created xsi:type="dcterms:W3CDTF">2026-09-26T13:37:11Z</dcterms:created>
  <dcterms:modified xsi:type="dcterms:W3CDTF">2026-09-26T13:37:11Z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