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Surgical</w:t>
      </w:r>
      <w:r>
        <w:t xml:space="preserve"> </w:t>
      </w:r>
      <w:r>
        <w:t xml:space="preserve">Pathology</w:t>
      </w:r>
      <w:r>
        <w:t xml:space="preserve"> </w:t>
      </w:r>
      <w:r>
        <w:t xml:space="preserve">Analysis</w:t>
      </w:r>
      <w:r>
        <w:t xml:space="preserve"> </w:t>
      </w:r>
      <w:r>
        <w:t xml:space="preserve">in</w:t>
      </w:r>
      <w:r>
        <w:t xml:space="preserve"> </w:t>
      </w:r>
      <w:r>
        <w:t xml:space="preserve">Argentina</w:t>
      </w:r>
      <w:r>
        <w:t xml:space="preserve"> </w:t>
      </w:r>
      <w:r>
        <w:t xml:space="preserve">Córdoba</w:t>
      </w:r>
    </w:p>
    <w:bookmarkStart w:id="20" w:name="clinical-laboratory-report"/>
    <w:p>
      <w:pPr>
        <w:pStyle w:val="Heading1"/>
      </w:pPr>
      <w:r>
        <w:t xml:space="preserve">Clinical Laboratory Report</w:t>
      </w:r>
    </w:p>
    <w:p>
      <w:pPr>
        <w:pStyle w:val="FirstParagraph"/>
      </w:pPr>
      <w:r>
        <w:rPr>
          <w:bCs/>
          <w:b/>
        </w:rPr>
        <w:t xml:space="preserve">Institution:</w:t>
      </w:r>
      <w:r>
        <w:t xml:space="preserve"> </w:t>
      </w:r>
      <w:r>
        <w:t xml:space="preserve">Instituto de Patología Quirúrgica y Análisis Clínicos</w:t>
      </w:r>
      <w:r>
        <w:br/>
      </w:r>
      <w:r>
        <w:rPr>
          <w:bCs/>
          <w:b/>
        </w:rPr>
        <w:t xml:space="preserve">Jurisdiction:</w:t>
      </w:r>
      <w:r>
        <w:t xml:space="preserve"> </w:t>
      </w:r>
      <w:r>
        <w:t xml:space="preserve">Argentina Córdoba</w:t>
      </w:r>
      <w:r>
        <w:br/>
      </w:r>
      <w:r>
        <w:rPr>
          <w:bCs/>
          <w:b/>
        </w:rPr>
        <w:t xml:space="preserve">Date of Issue:</w:t>
      </w:r>
      <w:r>
        <w:t xml:space="preserve"> </w:t>
      </w:r>
      <w:r>
        <w:t xml:space="preserve">October 26, 2023</w:t>
      </w:r>
      <w:r>
        <w:br/>
      </w:r>
    </w:p>
    <w:bookmarkEnd w:id="20"/>
    <w:bookmarkStart w:id="21" w:name="X866224e35708d02450d8393093b03455e48728b"/>
    <w:p>
      <w:pPr>
        <w:pStyle w:val="Heading3"/>
      </w:pPr>
      <w:r>
        <w:t xml:space="preserve">Patient Identification and Sample Metadata</w:t>
      </w:r>
    </w:p>
    <w:p>
      <w:pPr>
        <w:pStyle w:val="FirstParagraph"/>
      </w:pPr>
      <w:r>
        <w:rPr>
          <w:bCs/>
          <w:b/>
        </w:rPr>
        <w:t xml:space="preserve">Patient ID:</w:t>
      </w:r>
      <w:r>
        <w:t xml:space="preserve"> </w:t>
      </w:r>
      <w:r>
        <w:t xml:space="preserve">AC-8940-XYZ</w:t>
      </w:r>
      <w:r>
        <w:br/>
      </w:r>
      <w:r>
        <w:rPr>
          <w:bCs/>
          <w:b/>
        </w:rPr>
        <w:t xml:space="preserve">Date of Procedure:</w:t>
      </w:r>
      <w:r>
        <w:t xml:space="preserve"> </w:t>
      </w:r>
      <w:r>
        <w:t xml:space="preserve">October 15, 2023</w:t>
      </w:r>
      <w:r>
        <w:br/>
      </w:r>
      <w:r>
        <w:rPr>
          <w:bCs/>
          <w:b/>
        </w:rPr>
        <w:t xml:space="preserve">Clinician (Surgeon):</w:t>
      </w:r>
      <w:r>
        <w:t xml:space="preserve"> </w:t>
      </w:r>
      <w:r>
        <w:t xml:space="preserve">Dr. Roberto M. Valenzuela, Chief of General Surgery</w:t>
      </w:r>
      <w:r>
        <w:br/>
      </w:r>
    </w:p>
    <w:bookmarkEnd w:id="21"/>
    <w:bookmarkStart w:id="22" w:name="X2dce65f2ae747ce25a0781088f2e8c660951fc9"/>
    <w:p>
      <w:pPr>
        <w:pStyle w:val="Heading2"/>
      </w:pPr>
      <w:r>
        <w:t xml:space="preserve">1. Executive Summary and Clinical Context in Argentina Córdoba</w:t>
      </w:r>
    </w:p>
    <w:p>
      <w:pPr>
        <w:pStyle w:val="FirstParagraph"/>
      </w:pPr>
      <w:r>
        <w:t xml:space="preserve">This Laboratory Report serves as the definitive pathological analysis regarding a surgical intervention performed within the healthcare infrastructure of</w:t>
      </w:r>
      <w:r>
        <w:t xml:space="preserve"> </w:t>
      </w:r>
      <w:r>
        <w:rPr>
          <w:bCs/>
          <w:b/>
        </w:rPr>
        <w:t xml:space="preserve">Argentina Córdoba</w:t>
      </w:r>
      <w:r>
        <w:t xml:space="preserve">. The province of Córdoba, often referred to as the "Capital Médica" (Medical Capital) of Argentina due to its high density of medical specialists and advanced hospital facilities, provides a complex backdrop for surgical pathology. This report details the microscopic and macroscopic findings associated with a specific case managed by the attending</w:t>
      </w:r>
      <w:r>
        <w:t xml:space="preserve"> </w:t>
      </w:r>
      <w:r>
        <w:rPr>
          <w:bCs/>
          <w:b/>
        </w:rPr>
        <w:t xml:space="preserve">Surgeon</w:t>
      </w:r>
      <w:r>
        <w:t xml:space="preserve">. The objective is to provide precise histological data that informs post-operative care, prognosis estimation, and potential adjuvant therapies required for this patient within the Argentine public or private health system.</w:t>
      </w:r>
    </w:p>
    <w:p>
      <w:pPr>
        <w:pStyle w:val="BodyText"/>
      </w:pPr>
      <w:r>
        <w:t xml:space="preserve">The clinical scenario presented involves a male patient, aged 54, who was referred to the surgical ward in Córdoba following persistent abdominal pain and unexplained weight loss. The initial diagnostic imaging suggested an obstruction in the distal ileum. Given the regional prevalence of certain gastrointestinal pathologies and the rigorous standards maintained by surgical units in</w:t>
      </w:r>
      <w:r>
        <w:t xml:space="preserve"> </w:t>
      </w:r>
      <w:r>
        <w:rPr>
          <w:bCs/>
          <w:b/>
        </w:rPr>
        <w:t xml:space="preserve">Argentina Córdoba</w:t>
      </w:r>
      <w:r>
        <w:t xml:space="preserve">, a exploratory laparotomy was deemed necessary. This report documents the findings from that procedure, bridging the gap between macroscopic surgical observation and microscopic laboratory confirmation.</w:t>
      </w:r>
    </w:p>
    <w:bookmarkEnd w:id="22"/>
    <w:bookmarkStart w:id="23" w:name="surgical-procedure-overview"/>
    <w:p>
      <w:pPr>
        <w:pStyle w:val="Heading2"/>
      </w:pPr>
      <w:r>
        <w:t xml:space="preserve">2. Surgical Procedure Overview</w:t>
      </w:r>
    </w:p>
    <w:p>
      <w:pPr>
        <w:pStyle w:val="FirstParagraph"/>
      </w:pPr>
      <w:r>
        <w:t xml:space="preserve">The intervention was conducted under general anesthesia by a multidisciplinary team led by the primary</w:t>
      </w:r>
      <w:r>
        <w:t xml:space="preserve"> </w:t>
      </w:r>
      <w:r>
        <w:rPr>
          <w:bCs/>
          <w:b/>
        </w:rPr>
        <w:t xml:space="preserve">Surgeon</w:t>
      </w:r>
      <w:r>
        <w:t xml:space="preserve">. The procedure involved a midline laparotomy, which is the standard approach in many surgical centers across</w:t>
      </w:r>
      <w:r>
        <w:t xml:space="preserve"> </w:t>
      </w:r>
      <w:r>
        <w:rPr>
          <w:bCs/>
          <w:b/>
        </w:rPr>
        <w:t xml:space="preserve">Argentina Córdoba</w:t>
      </w:r>
      <w:r>
        <w:t xml:space="preserve"> </w:t>
      </w:r>
      <w:r>
        <w:t xml:space="preserve">for optimal access to intra-abdominal organs. Upon opening the abdominal cavity, significant adhesions were noted in the right lower quadrant, consistent with previous inflammatory processes or prior surgeries. The segment of the ileum showing signs of ischemia and thickening was identified.</w:t>
      </w:r>
    </w:p>
    <w:p>
      <w:pPr>
        <w:pStyle w:val="BodyText"/>
      </w:pPr>
      <w:r>
        <w:t xml:space="preserve">The</w:t>
      </w:r>
      <w:r>
        <w:t xml:space="preserve"> </w:t>
      </w:r>
      <w:r>
        <w:rPr>
          <w:bCs/>
          <w:b/>
        </w:rPr>
        <w:t xml:space="preserve">Surgeon</w:t>
      </w:r>
      <w:r>
        <w:t xml:space="preserve"> </w:t>
      </w:r>
      <w:r>
        <w:t xml:space="preserve">performed a segmental resection of approximately 15 centimeters of the diseased ileum. Careful hemostasis was achieved, and an end-to-end anastomosis was created to restore intestinal continuity. The removed specimen was immediately placed in formalin for fixation to preserve cellular architecture for subsequent laboratory analysis. The operative notes emphasize that no gross evidence of distant metastasis or peritoneal carcinomatosis was observed at the time of surgery, a crucial finding that suggests the disease process may be localized, pending histological confirmation.</w:t>
      </w:r>
    </w:p>
    <w:bookmarkEnd w:id="23"/>
    <w:bookmarkStart w:id="24" w:name="Xc0ee243b864fd4f6cc84758c7963dc30fed226d"/>
    <w:p>
      <w:pPr>
        <w:pStyle w:val="Heading2"/>
      </w:pPr>
      <w:r>
        <w:t xml:space="preserve">3. Laboratory Methodology and Specimen Processing</w:t>
      </w:r>
    </w:p>
    <w:p>
      <w:pPr>
        <w:pStyle w:val="FirstParagraph"/>
      </w:pPr>
      <w:r>
        <w:t xml:space="preserve">Upon receipt in the pathology laboratory of our facility in Córdoba, the specimen underwent standard processing protocols aligned with national guidelines for surgical pathology. The gross examination revealed a segment of bowel measuring 16 cm in length. The serosal surface exhibited hyperemia and fibrinous exudate. On cross-section, the mucosa showed an ulcerated lesion approximately 3 cm in diameter located at the resection margin closest to the mesenteric attachment.</w:t>
      </w:r>
    </w:p>
    <w:p>
      <w:pPr>
        <w:pStyle w:val="BodyText"/>
      </w:pPr>
      <w:r>
        <w:t xml:space="preserve">Tissue samples were selected for microscopic evaluation, focusing on the ulcerated area and adjacent normal-appearing tissue. The processing involved dehydration, clearing, and embedding in paraffin wax. Serial sections of 4 micrometers were cut and stained with Hematoxylin and Eosin (H&amp;E) for general morphology. Additionally, immunohistochemical stains were performed to differentiate between inflammatory bowel disease processes and neoplastic etiologies, a critical distinction often required in cases managed by surgeons in</w:t>
      </w:r>
      <w:r>
        <w:t xml:space="preserve"> </w:t>
      </w:r>
      <w:r>
        <w:rPr>
          <w:bCs/>
          <w:b/>
        </w:rPr>
        <w:t xml:space="preserve">Argentina Córdoba</w:t>
      </w:r>
      <w:r>
        <w:t xml:space="preserve"> </w:t>
      </w:r>
      <w:r>
        <w:t xml:space="preserve">to ensure appropriate long-term management.</w:t>
      </w:r>
    </w:p>
    <w:bookmarkEnd w:id="24"/>
    <w:bookmarkStart w:id="25" w:name="histopathological-findings"/>
    <w:p>
      <w:pPr>
        <w:pStyle w:val="Heading2"/>
      </w:pPr>
      <w:r>
        <w:t xml:space="preserve">4. Histopathological Findings</w:t>
      </w:r>
    </w:p>
    <w:p>
      <w:pPr>
        <w:pStyle w:val="FirstParagraph"/>
      </w:pPr>
      <w:r>
        <w:t xml:space="preserve">Microscopic examination revealed full-thickness inflammation of the bowel wall. However, distinct from typical Crohn's disease, the inflammatory infiltrate was accompanied by significant dysplastic changes in the epithelial cells lining the ulcerated area. The neoplastic cells demonstrated irregular glandular formation with nuclear pleomorphism and hyperchromasia.</w:t>
      </w:r>
    </w:p>
    <w:p>
      <w:pPr>
        <w:pStyle w:val="BodyText"/>
      </w:pPr>
      <w:r>
        <w:t xml:space="preserve">The invasion depth was assessed carefully. The tumor penetrated through the muscularis propria and extended into the pericolonic adipose tissue (subserosa), but did not breach the serosal surface. This staging is vital for the</w:t>
      </w:r>
      <w:r>
        <w:t xml:space="preserve"> </w:t>
      </w:r>
      <w:r>
        <w:rPr>
          <w:bCs/>
          <w:b/>
        </w:rPr>
        <w:t xml:space="preserve">Surgeon</w:t>
      </w:r>
      <w:r>
        <w:t xml:space="preserve"> </w:t>
      </w:r>
      <w:r>
        <w:t xml:space="preserve">to determine if further lymph node dissection or adjuvant chemotherapy is indicated. Of note, twelve regional lymph nodes were retrieved during surgery and submitted separately; all twelve nodes were found to be free of metastatic disease upon histological review. This finding significantly improves the patient's prognostic outlook.</w:t>
      </w:r>
    </w:p>
    <w:bookmarkEnd w:id="25"/>
    <w:bookmarkStart w:id="26" w:name="immunohistochemistry-results"/>
    <w:p>
      <w:pPr>
        <w:pStyle w:val="Heading2"/>
      </w:pPr>
      <w:r>
        <w:t xml:space="preserve">5. Immunohistochemistry Results</w:t>
      </w:r>
    </w:p>
    <w:p>
      <w:pPr>
        <w:pStyle w:val="FirstParagraph"/>
      </w:pPr>
      <w:r>
        <w:t xml:space="preserve">To confirm the nature of the tumor, immunohistochemical markers were applied. The tumor cells tested positive for Cytokeratin 20 (CK20) and negative for Cytokeratin 7 (CK7), a profile consistent with colorectal adenocarcinoma of intestinal origin. Furthermore, testing for Mismatch Repair (MMR) proteins showed intact expression of MLH1, PMS2, MSH2, and MSH6. This indicates that the tumor is proficient in mismatch repair (pMMR), which has implications for genetic counseling and potential targeted therapy options available to patients treated in advanced centers like those found in</w:t>
      </w:r>
      <w:r>
        <w:t xml:space="preserve"> </w:t>
      </w:r>
      <w:r>
        <w:rPr>
          <w:bCs/>
          <w:b/>
        </w:rPr>
        <w:t xml:space="preserve">Argentina Córdoba</w:t>
      </w:r>
      <w:r>
        <w:t xml:space="preserve">.</w:t>
      </w:r>
    </w:p>
    <w:bookmarkEnd w:id="26"/>
    <w:bookmarkStart w:id="27" w:name="diagnosis-and-conclusion"/>
    <w:p>
      <w:pPr>
        <w:pStyle w:val="Heading2"/>
      </w:pPr>
      <w:r>
        <w:t xml:space="preserve">6. Diagnosis and Conclusion</w:t>
      </w:r>
    </w:p>
    <w:p>
      <w:pPr>
        <w:pStyle w:val="FirstParagraph"/>
      </w:pPr>
      <w:r>
        <w:rPr>
          <w:bCs/>
          <w:b/>
        </w:rPr>
        <w:t xml:space="preserve">Final Diagnosis:</w:t>
      </w:r>
      <w:r>
        <w:br/>
      </w:r>
      <w:r>
        <w:t xml:space="preserve">Adenocarcinoma of the Ileum, moderately differentiated.</w:t>
      </w:r>
      <w:r>
        <w:br/>
      </w:r>
      <w:r>
        <w:t xml:space="preserve">pT3 N0 Mx (Pathologic Stage IIIA based on depth, though M is unknown without distant staging).</w:t>
      </w:r>
      <w:r>
        <w:br/>
      </w:r>
    </w:p>
    <w:p>
      <w:pPr>
        <w:pStyle w:val="BodyText"/>
      </w:pPr>
      <w:r>
        <w:t xml:space="preserve">The laboratory findings confirm a malignant neoplasm arising in the distal ileum. The absence of lymph node involvement is a favorable prognostic factor. For the attending</w:t>
      </w:r>
      <w:r>
        <w:t xml:space="preserve"> </w:t>
      </w:r>
      <w:r>
        <w:rPr>
          <w:bCs/>
          <w:b/>
        </w:rPr>
        <w:t xml:space="preserve">Surgeon</w:t>
      </w:r>
      <w:r>
        <w:t xml:space="preserve">, these results validate the adequacy of the resection margins, which were reported as clear (R0 resection). However, given that this is an adenocarcinoma in an unusual location for this disease profile (the ileum), further systemic evaluation is recommended to rule out synchronous lesions.</w:t>
      </w:r>
    </w:p>
    <w:p>
      <w:pPr>
        <w:pStyle w:val="BodyText"/>
      </w:pPr>
      <w:r>
        <w:t xml:space="preserve">This report underscores the collaborative nature of modern medicine in</w:t>
      </w:r>
      <w:r>
        <w:t xml:space="preserve"> </w:t>
      </w:r>
      <w:r>
        <w:rPr>
          <w:bCs/>
          <w:b/>
        </w:rPr>
        <w:t xml:space="preserve">Argentina Córdoba</w:t>
      </w:r>
      <w:r>
        <w:t xml:space="preserve">. The precision of the surgical technique performed by the</w:t>
      </w:r>
      <w:r>
        <w:t xml:space="preserve"> </w:t>
      </w:r>
      <w:r>
        <w:rPr>
          <w:bCs/>
          <w:b/>
        </w:rPr>
        <w:t xml:space="preserve">Surgeon</w:t>
      </w:r>
      <w:r>
        <w:t xml:space="preserve">, combined with rigorous laboratory analysis, provides a comprehensive picture for multidisciplinary tumor boards. The local healthcare network in Córdoba is well-equipped to handle such cases, ensuring that patients receive evidence-based care ranging from surgical intervention to oncological follow-up. It is recommended that the patient undergoes routine surveillance imaging and colonoscopy in six months, as per standard protocols followed by surgical departments throughout the province.</w:t>
      </w:r>
    </w:p>
    <w:p>
      <w:pPr>
        <w:pStyle w:val="BodyText"/>
      </w:pPr>
      <w:r>
        <w:rPr>
          <w:bCs/>
          <w:b/>
        </w:rPr>
        <w:t xml:space="preserve">Signed,</w:t>
      </w:r>
      <w:r>
        <w:br/>
      </w:r>
      <w:r>
        <w:t xml:space="preserve">Dr. Elena Sosa, MD</w:t>
      </w:r>
      <w:r>
        <w:br/>
      </w:r>
      <w:r>
        <w:t xml:space="preserve">Chief Pathologist</w:t>
      </w:r>
      <w:r>
        <w:br/>
      </w:r>
      <w:r>
        <w:t xml:space="preserve">Laboratorio de Patología Argentina Córdoba</w:t>
      </w:r>
      <w:r>
        <w:br/>
      </w:r>
    </w:p>
    <w:p>
      <w:pPr>
        <w:pStyle w:val="BodyText"/>
      </w:pPr>
      <w:r>
        <w:rPr>
          <w:iCs/>
          <w:i/>
        </w:rPr>
        <w:t xml:space="preserve">This document is confidential and intended solely for the use of the healthcare team involved in this patient's care.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Surgical Pathology Analysis in Argentina Córdoba</dc:title>
  <dc:creator/>
  <dc:language>en</dc:language>
  <cp:keywords/>
  <dcterms:created xsi:type="dcterms:W3CDTF">2026-07-29T04:29:49Z</dcterms:created>
  <dcterms:modified xsi:type="dcterms:W3CDTF">2026-07-29T04:29:49Z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