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Diagnostic</w:t>
      </w:r>
      <w:r>
        <w:t xml:space="preserve"> </w:t>
      </w:r>
      <w:r>
        <w:t xml:space="preserve">Report:</w:t>
      </w:r>
      <w:r>
        <w:t xml:space="preserve"> </w:t>
      </w:r>
      <w:r>
        <w:t xml:space="preserve">Surgical</w:t>
      </w:r>
      <w:r>
        <w:t xml:space="preserve"> </w:t>
      </w:r>
      <w:r>
        <w:t xml:space="preserve">Candidate</w:t>
      </w:r>
      <w:r>
        <w:t xml:space="preserve"> </w:t>
      </w:r>
      <w:r>
        <w:t xml:space="preserve">Assessment</w:t>
      </w:r>
    </w:p>
    <w:bookmarkStart w:id="20" w:name="laboratory-diagnostic-report"/>
    <w:p>
      <w:pPr>
        <w:pStyle w:val="Heading1"/>
      </w:pPr>
      <w:r>
        <w:t xml:space="preserve">Laboratory Diagnostic Report</w:t>
      </w:r>
    </w:p>
    <w:p>
      <w:pPr>
        <w:pStyle w:val="FirstParagraph"/>
      </w:pPr>
      <w:r>
        <w:rPr>
          <w:bCs/>
          <w:b/>
        </w:rPr>
        <w:t xml:space="preserve">Patient ID:</w:t>
      </w:r>
      <w:r>
        <w:t xml:space="preserve"> </w:t>
      </w:r>
      <w:r>
        <w:t xml:space="preserve">SYD-SURG-2024-892</w:t>
      </w:r>
      <w:r>
        <w:br/>
      </w:r>
      <w:r>
        <w:rPr>
          <w:bCs/>
          <w:b/>
        </w:rPr>
        <w:t xml:space="preserve">Date of Service:</w:t>
      </w:r>
      <w:r>
        <w:t xml:space="preserve"> </w:t>
      </w:r>
      <w:r>
        <w:t xml:space="preserve">October 15, 2023</w:t>
      </w:r>
      <w:r>
        <w:br/>
      </w:r>
      <w:r>
        <w:rPr>
          <w:bCs/>
          <w:b/>
        </w:rPr>
        <w:t xml:space="preserve">Institution:</w:t>
      </w:r>
      <w:r>
        <w:t xml:space="preserve"> </w:t>
      </w:r>
      <w:r>
        <w:t xml:space="preserve">Sydney Metropolitan Clinical Pathology Services</w:t>
      </w:r>
    </w:p>
    <w:bookmarkEnd w:id="20"/>
    <w:bookmarkStart w:id="21" w:name="purpose-and-scope"/>
    <w:p>
      <w:pPr>
        <w:pStyle w:val="Heading2"/>
      </w:pPr>
      <w:r>
        <w:t xml:space="preserve">Purpose and Scope</w:t>
      </w:r>
    </w:p>
    <w:p>
      <w:pPr>
        <w:pStyle w:val="FirstParagraph"/>
      </w:pPr>
      <w:r>
        <w:t xml:space="preserve">This document serves as a comprehensive laboratory report designed to provide critical diagnostic data for a surgical candidate evaluation. The primary objective of this report is to facilitate informed decision-making by the attending surgeon regarding patient readiness for elective procedures. In the context of healthcare delivery in Australia Sydney, precision in laboratory diagnostics is paramount due to stringent regulatory standards enforced by the National Pathology Accreditation Advisory Council (NPAAC) and rigorous guidelines set forth by Medical Board of Australia.</w:t>
      </w:r>
    </w:p>
    <w:p>
      <w:pPr>
        <w:pStyle w:val="BodyText"/>
      </w:pPr>
      <w:r>
        <w:t xml:space="preserve">The integration of advanced diagnostic testing ensures that every surgeon operating within the jurisdiction of New South Wales (NSW) has access to reliable, timely, and accurate biological markers. This report details hematological profiles, coagulation statuses metabolic panels, and infectious disease screenings. These parameters are essential for risk stratification prior to surgical intervention in Australia Sydney hospitals.</w:t>
      </w:r>
    </w:p>
    <w:bookmarkEnd w:id="21"/>
    <w:bookmarkStart w:id="22" w:name="clinical-background"/>
    <w:p>
      <w:pPr>
        <w:pStyle w:val="Heading2"/>
      </w:pPr>
      <w:r>
        <w:t xml:space="preserve">Clinical Background</w:t>
      </w:r>
    </w:p>
    <w:p>
      <w:pPr>
        <w:pStyle w:val="FirstParagraph"/>
      </w:pPr>
      <w:r>
        <w:t xml:space="preserve">The patient is a 58-year-old male presenting for pre-operative assessment scheduled for major abdominal surgery. The referral was initiated by the consultant surgeon at a leading tertiary hospital in Australia Sydney. The clinical history indicates no known drug allergies, but there is a family history of cardiovascular disease. The surgeon has requested specific laboratory markers to evaluate cardiac risk factors and general physiological resilience.</w:t>
      </w:r>
    </w:p>
    <w:p>
      <w:pPr>
        <w:pStyle w:val="BodyText"/>
      </w:pPr>
      <w:r>
        <w:t xml:space="preserve">Understanding the local epidemiological context in Australia Sydney is crucial here. Patients in this region often present with comorbidities related to lifestyle factors prevalent in urban settings, including obesity and sedentary behavior. Consequently, the surgeon requires detailed insights into lipid profiles and glucose metabolism to tailor anesthesia plans effectively.</w:t>
      </w:r>
    </w:p>
    <w:bookmarkEnd w:id="22"/>
    <w:bookmarkStart w:id="24" w:name="laboratory-findings"/>
    <w:p>
      <w:pPr>
        <w:pStyle w:val="Heading2"/>
      </w:pPr>
      <w:r>
        <w:t xml:space="preserve">Laboratory Findings</w:t>
      </w:r>
    </w:p>
    <w:bookmarkStart w:id="23" w:name="hematological-analysis"/>
    <w:p>
      <w:pPr>
        <w:pStyle w:val="Heading3"/>
      </w:pPr>
      <w:r>
        <w:t xml:space="preserve">Hematological Analysis</w:t>
      </w:r>
    </w:p>
    <w:p>
      <w:pPr>
        <w:pStyle w:val="FirstParagraph"/>
      </w:pPr>
      <w:r>
        <w:t xml:space="preserve">The complete blood count (CBC) reveals a hemoglobin level of 14.2 g/dL, which falls within the normal reference range for adult males. The white blood cell count is 6.5 x 10^9/L, indicating no active systemic infection at the time of sample collection. Platelet counts are adequate at 250 x 10^9/L, suggesting normal hemostatic potential.</w:t>
      </w:r>
    </w:p>
    <w:p>
      <w:pPr>
        <w:pStyle w:val="BodyText"/>
      </w:pPr>
      <w:r>
        <w:t xml:space="preserve">Test Parameter</w:t>
      </w:r>
    </w:p>
    <w:bookmarkEnd w:id="23"/>
    <w:bookmarkEnd w:id="24"/>
    <w:p>
      <w:pPr>
        <w:pStyle w:val="BodyText"/>
      </w:pPr>
      <w:r>
        <w:t xml:space="preserve">Result</w:t>
      </w:r>
    </w:p>
    <w:p>
      <w:pPr>
        <w:pStyle w:val="BodyText"/>
      </w:pPr>
      <w:r>
        <w:t xml:space="preserve">H Units</w:t>
      </w:r>
    </w:p>
    <w:p>
      <w:pPr>
        <w:pStyle w:val="BodyText"/>
      </w:pPr>
      <w:r>
        <w:t xml:space="preserve">&lt; div class ="section "&gt;</w:t>
      </w:r>
      <w:r>
        <w:t xml:space="preserve"> </w:t>
      </w:r>
      <w:r>
        <w:t xml:space="preserve">H2 Interp retation for Surgeon</w:t>
      </w:r>
      <w:r>
        <w:t xml:space="preserve"> </w:t>
      </w:r>
      <w:r>
        <w:t xml:space="preserve">p The results obtained from this laboratory analysis provide the surgeon with confidence to proceed with pre-surgical planning. Specifically, the normal hemoglobin and platelet levels reduce concerns regarding perioperative bleeding risks or anemia-related complications during surgery in Australia Sydney facilities .</w:t>
      </w:r>
    </w:p>
    <w:bookmarkStart w:id="25" w:name="conclusion"/>
    <w:p>
      <w:pPr>
        <w:pStyle w:val="Heading2"/>
      </w:pPr>
      <w:r>
        <w:t xml:space="preserve">Conclusion</w:t>
      </w:r>
    </w:p>
    <w:p>
      <w:pPr>
        <w:pStyle w:val="FirstParagraph"/>
      </w:pPr>
      <w:r>
        <w:t xml:space="preserve">This laboratory report confirms that the patient meets the baseline biological criteria for surgical intervention as required by standard protocols in Australia Sydney. The surgeon may utilize these findings to finalize anesthesia plans and anticipate potential complications. Continued monitoring post-operatively will ensure optimal recovery trajectories consistent with high-standard care benchmarks.</w:t>
      </w:r>
    </w:p>
    <w:p>
      <w:pPr>
        <w:pStyle w:val="BodyText"/>
      </w:pPr>
      <w:r>
        <w:t xml:space="preserve">It is recommended that this report be integrated into the electronic health record system used across Australian healthcare networks, ensuring seamless communication between the surgical team, anesthetists, and primary care providers located in Australia Sydney.</w:t>
      </w:r>
    </w:p>
    <w:bookmarkEnd w:id="25"/>
    <w:p>
      <w:pPr>
        <w:pStyle w:val="BodyText"/>
      </w:pPr>
      <w:r>
        <w:rPr>
          <w:bCs/>
          <w:b/>
        </w:rPr>
        <w:t xml:space="preserve">Signed:</w:t>
      </w:r>
      <w:r>
        <w:t xml:space="preserve"> </w:t>
      </w:r>
      <w:r>
        <w:t xml:space="preserve">Dr. Jane Doe, Senior Pathologist</w:t>
      </w:r>
      <w:r>
        <w:br/>
      </w:r>
      <w:r>
        <w:rPr>
          <w:bCs/>
          <w:b/>
        </w:rPr>
        <w:t xml:space="preserve">Certification:</w:t>
      </w:r>
      <w:r>
        <w:t xml:space="preserve"> </w:t>
      </w:r>
      <w:r>
        <w:t xml:space="preserve">NPAAC Accredited Laboratory</w:t>
      </w:r>
      <w:r>
        <w:br/>
      </w:r>
    </w:p>
    <w:p>
      <w:pPr>
        <w:pStyle w:val="BodyText"/>
      </w:pPr>
      <w:r>
        <w:t xml:space="preserve">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Diagnostic Report: Surgical Candidate Assessment</dc:title>
  <dc:creator/>
  <dc:language>en</dc:language>
  <cp:keywords/>
  <dcterms:created xsi:type="dcterms:W3CDTF">2026-07-29T00:59:43Z</dcterms:created>
  <dcterms:modified xsi:type="dcterms:W3CDTF">2026-07-29T00:59:43Z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