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Surgical</w:t>
      </w:r>
      <w:r>
        <w:t xml:space="preserve"> </w:t>
      </w:r>
      <w:r>
        <w:t xml:space="preserve">Intervention</w:t>
      </w:r>
      <w:r>
        <w:t xml:space="preserve"> </w:t>
      </w:r>
      <w:r>
        <w:t xml:space="preserve">Analysis</w:t>
      </w:r>
      <w:r>
        <w:t xml:space="preserve"> </w:t>
      </w:r>
      <w:r>
        <w:t xml:space="preserve">-</w:t>
      </w:r>
      <w:r>
        <w:t xml:space="preserve"> </w:t>
      </w:r>
      <w:r>
        <w:t xml:space="preserve">Canada,</w:t>
      </w:r>
      <w:r>
        <w:t xml:space="preserve"> </w:t>
      </w:r>
      <w:r>
        <w:t xml:space="preserve">Toronto</w:t>
      </w:r>
    </w:p>
    <w:bookmarkStart w:id="20" w:name="Xc3fd94c71bc8d66c78b55837f0602c75f829629"/>
    <w:p>
      <w:pPr>
        <w:pStyle w:val="Heading1"/>
      </w:pPr>
      <w:r>
        <w:t xml:space="preserve">Clinical Laboratory Report &amp; Surgical Outcome Analysis</w:t>
      </w:r>
    </w:p>
    <w:p>
      <w:pPr>
        <w:pStyle w:val="FirstParagraph"/>
      </w:pPr>
      <w:r>
        <w:rPr>
          <w:bCs/>
          <w:b/>
        </w:rPr>
        <w:t xml:space="preserve">Institution:</w:t>
      </w:r>
      <w:r>
        <w:t xml:space="preserve"> </w:t>
      </w:r>
      <w:r>
        <w:t xml:space="preserve">Toronto General Hospital / University Health Network</w:t>
      </w:r>
      <w:r>
        <w:br/>
      </w:r>
      <w:r>
        <w:rPr>
          <w:bCs/>
          <w:b/>
        </w:rPr>
        <w:t xml:space="preserve">Jurisdiction:</w:t>
      </w:r>
      <w:r>
        <w:t xml:space="preserve"> </w:t>
      </w:r>
      <w:r>
        <w:t xml:space="preserve">Province of Ontario, Canada, Toronto</w:t>
      </w:r>
      <w:r>
        <w:br/>
      </w:r>
      <w:r>
        <w:rPr>
          <w:bCs/>
          <w:b/>
        </w:rPr>
        <w:t xml:space="preserve">Date of Report:</w:t>
      </w:r>
      <w:r>
        <w:t xml:space="preserve"> </w:t>
      </w:r>
      <w:r>
        <w:t xml:space="preserve">October 26, 2023</w:t>
      </w:r>
      <w:r>
        <w:br/>
      </w:r>
    </w:p>
    <w:p>
      <w:pPr>
        <w:pStyle w:val="BodyText"/>
      </w:pPr>
      <w:r>
        <w:t xml:space="preserve">Patient ID:</w:t>
      </w:r>
    </w:p>
    <w:p>
      <w:pPr>
        <w:pStyle w:val="BodyText"/>
      </w:pPr>
      <w:r>
        <w:t xml:space="preserve">: TGH-8940-ON (Anonymized for Privacy)</w:t>
      </w:r>
      <w:r>
        <w:br/>
      </w:r>
    </w:p>
    <w:p>
      <w:pPr>
        <w:pStyle w:val="BodyText"/>
      </w:pPr>
      <w:r>
        <w:t xml:space="preserve">Primary Surgeon:</w:t>
      </w:r>
    </w:p>
    <w:p>
      <w:pPr>
        <w:pStyle w:val="BodyText"/>
      </w:pPr>
      <w:r>
        <w:t xml:space="preserve">: Dr. A. Patel, FRCSC</w:t>
      </w:r>
      <w:r>
        <w:br/>
      </w:r>
    </w:p>
    <w:p>
      <w:pPr>
        <w:pStyle w:val="BodyText"/>
      </w:pPr>
      <w:r>
        <w:t xml:space="preserve">Laboratory Director:</w:t>
      </w:r>
    </w:p>
    <w:p>
      <w:pPr>
        <w:pStyle w:val="BodyText"/>
      </w:pPr>
      <w:r>
        <w:t xml:space="preserve">: Dr. S. Chen, MD, PhD</w:t>
      </w:r>
    </w:p>
    <w:bookmarkEnd w:id="20"/>
    <w:bookmarkStart w:id="21" w:name="executive-summary"/>
    <w:p>
      <w:pPr>
        <w:pStyle w:val="Heading2"/>
      </w:pPr>
      <w:r>
        <w:t xml:space="preserve">1. Executive Summary</w:t>
      </w:r>
    </w:p>
    <w:p>
      <w:pPr>
        <w:pStyle w:val="FirstParagraph"/>
      </w:pPr>
      <w:r>
        <w:t xml:space="preserve">This comprehensive laboratory report and surgical assessment document has been prepared for review by the Multidisciplinary Surgical Team at the leading medical institutions in Canada, Toronto. The primary objective of this document is to analyze pre-operative laboratory findings, intraoperative tissue samples, and post-operative histological results concerning a complex elective surgical procedure. As a resident physician specializing in general surgery within the bustling healthcare ecosystem of Canada, Toronto, it is imperative that all documentation adheres strictly to the rigorous standards set forth by the Royal College of Physicians and Surgeons of Canada. This report synthesizes data from multiple laboratory disciplines to provide a holistic view of patient prognosis following surgical intervention.</w:t>
      </w:r>
    </w:p>
    <w:bookmarkEnd w:id="21"/>
    <w:bookmarkStart w:id="22" w:name="patient-clinical-background"/>
    <w:p>
      <w:pPr>
        <w:pStyle w:val="Heading2"/>
      </w:pPr>
      <w:r>
        <w:t xml:space="preserve">2. Patient Clinical Background</w:t>
      </w:r>
    </w:p>
    <w:p>
      <w:pPr>
        <w:pStyle w:val="FirstParagraph"/>
      </w:pPr>
      <w:r>
        <w:t xml:space="preserve">The patient is a 54-year-old male resident of the Greater Toronto Area, presenting with recurrent abdominal pain and unexplained weight loss. Initial imaging conducted at a primary care clinic in downtown Toronto suggested the presence of a mass in the pancreatic head region. Consequently, the patient was referred to our specialized surgical unit for further diagnostic evaluation and potential operative management. Given that Canada operates under a publicly funded healthcare system, timely access to specialized surgical care is critical, particularly in major urban centers like Toronto where patient volumes are high.</w:t>
      </w:r>
    </w:p>
    <w:p>
      <w:pPr>
        <w:pStyle w:val="BodyText"/>
      </w:pPr>
      <w:r>
        <w:t xml:space="preserve">The decision to proceed with surgery was made after multidisciplinary tumor board review, a standard protocol in Canadian academic health sciences centers. The chosen procedure was a pancreaticoduodenectomy (Whipple procedure), one of the most complex operations in general surgery. The laboratory workup detailed below serves as the critical baseline for assessing physiological stability and post-operative recovery trajectories.</w:t>
      </w:r>
    </w:p>
    <w:bookmarkEnd w:id="22"/>
    <w:bookmarkStart w:id="23" w:name="pre-operative-laboratory-assessment"/>
    <w:p>
      <w:pPr>
        <w:pStyle w:val="Heading2"/>
      </w:pPr>
      <w:r>
        <w:t xml:space="preserve">3. Pre-Operative Laboratory Assessment</w:t>
      </w:r>
    </w:p>
    <w:p>
      <w:pPr>
        <w:pStyle w:val="FirstParagraph"/>
      </w:pPr>
      <w:r>
        <w:t xml:space="preserve">A thorough panel of hematological, biochemical, and coagulation studies was conducted 48 hours prior to the scheduled surgery. These tests were performed at the central pathology laboratory affiliated with our hospital network in Toronto.</w:t>
      </w:r>
    </w:p>
    <w:p>
      <w:pPr>
        <w:pStyle w:val="BodyText"/>
      </w:pPr>
      <w:r>
        <w:t xml:space="preserve">Laboratory Parameter</w:t>
      </w:r>
    </w:p>
    <w:bookmarkEnd w:id="23"/>
    <w:p>
      <w:pPr>
        <w:pStyle w:val="BodyText"/>
      </w:pPr>
      <w:r>
        <w:t xml:space="preserve">Patient Result</w:t>
      </w:r>
    </w:p>
    <w:p>
      <w:pPr>
        <w:pStyle w:val="BodyText"/>
      </w:pPr>
      <w:r>
        <w:t xml:space="preserve">Reference Range (Ontario Labs)</w:t>
      </w:r>
    </w:p>
    <w:p>
      <w:pPr>
        <w:pStyle w:val="BodyText"/>
      </w:pPr>
      <w:r>
        <w:t xml:space="preserve">Hemoglobin</w:t>
      </w:r>
    </w:p>
    <w:p>
      <w:pPr>
        <w:pStyle w:val="BodyText"/>
      </w:pPr>
      <w:r>
        <w:t xml:space="preserve">13.2 g/dL</w:t>
      </w:r>
    </w:p>
    <w:p>
      <w:pPr>
        <w:pStyle w:val="BodyText"/>
      </w:pPr>
      <w:r>
        <w:t xml:space="preserve">13.5 – 17.5 g/dL</w:t>
      </w:r>
    </w:p>
    <w:p>
      <w:pPr>
        <w:pStyle w:val="BodyText"/>
      </w:pPr>
      <w:r>
        <w:t xml:space="preserve">White Blood Cell Count</w:t>
      </w:r>
    </w:p>
    <w:p>
      <w:pPr>
        <w:pStyle w:val="BodyText"/>
      </w:pPr>
      <w:r>
        <w:t xml:space="preserve">6.8 x 10^9/L</w:t>
      </w:r>
    </w:p>
    <w:p>
      <w:pPr>
        <w:pStyle w:val="BodyText"/>
      </w:pPr>
      <w:r>
        <w:t xml:space="preserve">4.0 – 11.0 x 10^9/L</w:t>
      </w:r>
    </w:p>
    <w:p>
      <w:pPr>
        <w:pStyle w:val="BodyText"/>
      </w:pPr>
      <w:r>
        <w:t xml:space="preserve">Liver Function Tests (ALT/AST)</w:t>
      </w:r>
    </w:p>
    <w:p>
      <w:pPr>
        <w:pStyle w:val="BodyText"/>
      </w:pPr>
      <w:r>
        <w:t xml:space="preserve">/td&gt;</w:t>
      </w:r>
    </w:p>
    <w:p>
      <w:pPr>
        <w:pStyle w:val="BodyText"/>
      </w:pPr>
      <w:r>
        <w:t xml:space="preserve">32 / 28 U/L</w:t>
      </w:r>
    </w:p>
    <w:p>
      <w:pPr>
        <w:pStyle w:val="BodyText"/>
      </w:pPr>
      <w:r>
        <w:t xml:space="preserve">7 – 55 U/L</w:t>
      </w:r>
    </w:p>
    <w:p>
      <w:pPr>
        <w:pStyle w:val="BodyText"/>
      </w:pPr>
      <w:r>
        <w:t xml:space="preserve">Bilirubin (Total)</w:t>
      </w:r>
    </w:p>
    <w:p>
      <w:pPr>
        <w:pStyle w:val="BodyText"/>
      </w:pPr>
      <w:r>
        <w:t xml:space="preserve">4.5 mg/dL</w:t>
      </w:r>
      <w:r>
        <w:t xml:space="preserve">*</w:t>
      </w:r>
    </w:p>
    <w:p>
      <w:pPr>
        <w:pStyle w:val="BodyText"/>
      </w:pPr>
      <w:r>
        <w:t xml:space="preserve">0.1 – 1.2 mg/dL</w:t>
      </w:r>
    </w:p>
    <w:p>
      <w:pPr>
        <w:pStyle w:val="BodyText"/>
      </w:pPr>
      <w:r>
        <w:t xml:space="preserve">Inflammatory Markers (CRP)</w:t>
      </w:r>
    </w:p>
    <w:p>
      <w:pPr>
        <w:pStyle w:val="BodyText"/>
      </w:pPr>
      <w:r>
        <w:t xml:space="preserve">/td&gt;</w:t>
      </w:r>
    </w:p>
    <w:p>
      <w:pPr>
        <w:pStyle w:val="BodyText"/>
      </w:pPr>
      <w:r>
        <w:t xml:space="preserve">8 mg/L/div&gt;&lt; td = "inflammatory markers" &gt; C-Reactive Protein</w:t>
      </w:r>
      <w:r>
        <w:br/>
      </w:r>
      <w:r>
        <w:t xml:space="preserve">Patient Result</w:t>
      </w:r>
      <w:r>
        <w:br/>
      </w:r>
      <w:r>
        <w:t xml:space="preserve">8 mg/L</w:t>
      </w:r>
      <w:r>
        <w:br/>
      </w:r>
      <w:r>
        <w:t xml:space="preserve">Reference Range (Ontario Labs)</w:t>
      </w:r>
      <w:r>
        <w:br/>
      </w:r>
      <w:r>
        <w:t xml:space="preserve">0 - 5 mg/L</w:t>
      </w:r>
    </w:p>
    <w:p>
      <w:pPr>
        <w:pStyle w:val="BodyText"/>
      </w:pPr>
      <w:r>
        <w:rPr>
          <w:iCs/>
          <w:i/>
        </w:rPr>
        <w:t xml:space="preserve">Note:</w:t>
      </w:r>
      <w:r>
        <w:t xml:space="preserve"> </w:t>
      </w:r>
      <w:r>
        <w:t xml:space="preserve">The elevated bilirubin levels indicate obstructive jaundice, a common complication of pancreatic head masses. This finding necessitated careful pre-operative optimization to ensure coagulation factors were sufficient for the upcoming surgical intervention.</w:t>
      </w:r>
    </w:p>
    <w:bookmarkStart w:id="24" w:name="X5739c87b3f8c23af1dcd5392aaa96bd4c4b9246"/>
    <w:p>
      <w:pPr>
        <w:pStyle w:val="Heading2"/>
      </w:pPr>
      <w:r>
        <w:t xml:space="preserve">4. Intraoperative Tissue Sampling and Immediate Pathology</w:t>
      </w:r>
    </w:p>
    <w:p>
      <w:pPr>
        <w:pStyle w:val="FirstParagraph"/>
      </w:pPr>
      <w:r>
        <w:t xml:space="preserve">During the surgical procedure, multiple tissue samples were excised from the pancreatic head, duodenum, and surrounding lymph nodes. These specimens were immediately fixed in formalin and transported to the surgical pathology laboratory within our Toronto facility. The pathologist on call performed a rapid frozen section analysis during the operation to assess margin status.</w:t>
      </w:r>
    </w:p>
    <w:p>
      <w:pPr>
        <w:pStyle w:val="BodyText"/>
      </w:pPr>
      <w:r>
        <w:t xml:space="preserve">The frozen section results indicated clear margins with no evidence of immediate vascular invasion, which was a favorable prognostic indicator. This real-time feedback allowed the surgical team to complete the resection without leaving residual disease, adhering to best practices taught at major teaching hospitals in Canada. The precise nature of this collaboration between the surgeon and the pathologist is vital in high-acuity settings.</w:t>
      </w:r>
    </w:p>
    <w:bookmarkEnd w:id="24"/>
    <w:bookmarkStart w:id="25" w:name="post-operative-laboratory-trends"/>
    <w:p>
      <w:pPr>
        <w:pStyle w:val="Heading2"/>
      </w:pPr>
      <w:r>
        <w:t xml:space="preserve">5. Post-Operative Laboratory Trends</w:t>
      </w:r>
    </w:p>
    <w:p>
      <w:pPr>
        <w:pStyle w:val="FirstParagraph"/>
      </w:pPr>
      <w:r>
        <w:t xml:space="preserve">In the immediate post-operative period, laboratory monitoring focused on detecting signs of infection, bleeding, or organ dysfunction. The following trends were observed over the first 72 hours:</w:t>
      </w:r>
    </w:p>
    <w:p>
      <w:pPr>
        <w:numPr>
          <w:ilvl w:val="0"/>
          <w:numId w:val="1001"/>
        </w:numPr>
        <w:pStyle w:val="Compact"/>
      </w:pPr>
      <w:r>
        <w:rPr>
          <w:bCs/>
          <w:b/>
        </w:rPr>
        <w:t xml:space="preserve">Hemoglobin Stability:</w:t>
      </w:r>
      <w:r>
        <w:t xml:space="preserve"> </w:t>
      </w:r>
      <w:r>
        <w:t xml:space="preserve">Despite significant blood loss during surgery (estimated at 600 mL), post-operative hemoglobin levels stabilized between 9.5 and 10.2 g/dL, indicating effective hemostasis.</w:t>
      </w:r>
    </w:p>
    <w:p>
      <w:pPr>
        <w:numPr>
          <w:ilvl w:val="0"/>
          <w:numId w:val="1001"/>
        </w:numPr>
        <w:pStyle w:val="Compact"/>
      </w:pPr>
      <w:r>
        <w:rPr>
          <w:bCs/>
          <w:b/>
        </w:rPr>
        <w:t xml:space="preserve">Inflammatory Response:</w:t>
      </w:r>
      <w:r>
        <w:t xml:space="preserve"> </w:t>
      </w:r>
      <w:r>
        <w:t xml:space="preserve">C-Reactive Protein (CRP) peaked at day two post-surgery, reaching 150 mg/L. This is an expected physiological response to major abdominal surgery in Canada’s standard clinical pathway. By day five, CRP levels had begun to decline, suggesting resolving inflammation.</w:t>
      </w:r>
    </w:p>
    <w:p>
      <w:pPr>
        <w:numPr>
          <w:ilvl w:val="0"/>
          <w:numId w:val="1001"/>
        </w:numPr>
        <w:pStyle w:val="Compact"/>
      </w:pPr>
      <w:r>
        <w:rPr>
          <w:bCs/>
          <w:b/>
        </w:rPr>
        <w:t xml:space="preserve">Liver Function Recovery:</w:t>
      </w:r>
      <w:r>
        <w:t xml:space="preserve"> </w:t>
      </w:r>
      <w:r>
        <w:t xml:space="preserve">Bilirubin levels showed a gradual downward trend, dropping from 4.5 mg/dL pre-operatively to 2.1 mg/dL by day seven. This indicates successful decompression of the biliary tree during the reconstruction phase of the Whipple procedure.</w:t>
      </w:r>
    </w:p>
    <w:p>
      <w:pPr>
        <w:pStyle w:val="FirstParagraph"/>
      </w:pPr>
      <w:r>
        <w:t xml:space="preserve">The laboratory team in Toronto worked closely with the surgical ward nurses to ensure that these results were communicated immediately if any values fell outside safe limits, ensuring patient safety remained paramount.</w:t>
      </w:r>
    </w:p>
    <w:bookmarkEnd w:id="25"/>
    <w:bookmarkStart w:id="26" w:name="final-histopathological-diagnosis"/>
    <w:p>
      <w:pPr>
        <w:pStyle w:val="Heading2"/>
      </w:pPr>
      <w:r>
        <w:t xml:space="preserve">6. Final Histopathological Diagnosis</w:t>
      </w:r>
    </w:p>
    <w:p>
      <w:pPr>
        <w:pStyle w:val="FirstParagraph"/>
      </w:pPr>
      <w:r>
        <w:t xml:space="preserve">The final paraffin-embedded tissue analysis was completed seven days post-surgery. The definitive diagnosis confirmed an adenocarcinoma of the pancreatic head, measuring 2.5 cm in greatest dimension. Importantly, all 14 resected lymph nodes were negative for metastatic disease (pN0). The surgical margins were free of tumor cells (R0 resection). This is a critical distinction in oncological surgery and significantly impacts the need for adjuvant chemotherapy.</w:t>
      </w:r>
    </w:p>
    <w:p>
      <w:pPr>
        <w:pStyle w:val="BodyText"/>
      </w:pPr>
      <w:r>
        <w:t xml:space="preserve">This report highlights the importance of integrating laboratory data with surgical expertise. In the context of healthcare in Canada, particularly Toronto, where multidisciplinary care models are prevalent, such detailed reporting facilitates seamless communication between surgeons, oncologists, radiologists, and pathologists.</w:t>
      </w:r>
    </w:p>
    <w:bookmarkEnd w:id="26"/>
    <w:bookmarkStart w:id="27" w:name="conclusion-and-recommendations"/>
    <w:p>
      <w:pPr>
        <w:pStyle w:val="Heading2"/>
      </w:pPr>
      <w:r>
        <w:t xml:space="preserve">7. Conclusion and Recommendations</w:t>
      </w:r>
    </w:p>
    <w:p>
      <w:pPr>
        <w:pStyle w:val="FirstParagraph"/>
      </w:pPr>
      <w:r>
        <w:t xml:space="preserve">This laboratory report concludes that the surgical intervention was technically successful with clear margins and adequate physiological recovery markers. The patient is currently transitioning to oral intake and has met milestones for discharge planning within the Canadian healthcare framework, which emphasizes efficient hospital stays without compromising care quality.</w:t>
      </w:r>
    </w:p>
    <w:p>
      <w:pPr>
        <w:pStyle w:val="BodyText"/>
      </w:pPr>
      <w:r>
        <w:t xml:space="preserve">We recommend routine follow-up imaging in three months and continued monitoring of pancreatic exocrine function. The synergy between the surgical team and the laboratory services in Toronto was instrumental in achieving this positive outcome. Continued vigilance regarding potential complications such as delayed gastric emptying or post-pancreatectomy hemorrhage is advised, guided by subsequent laboratory evaluations.</w:t>
      </w:r>
    </w:p>
    <w:bookmarkEnd w:id="27"/>
    <w:p>
      <w:pPr>
        <w:pStyle w:val="BodyText"/>
      </w:pPr>
      <w:r>
        <w:rPr>
          <w:bCs/>
          <w:b/>
        </w:rPr>
        <w:t xml:space="preserve">Disclaimer:</w:t>
      </w:r>
      <w:r>
        <w:t xml:space="preserve"> </w:t>
      </w:r>
      <w:r>
        <w:t xml:space="preserve">This document is a simulated laboratory report for educational and formatting purposes. It does not constitute medical advice. All patient data is fictional. Healthcare practices in Canada, Toronto, are governed by strict privacy laws (PHIPA) and clinical guidelines which must be followed in real-world scenarios.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Surgical Intervention Analysis - Canada, Toronto</dc:title>
  <dc:creator/>
  <dc:language>en</dc:language>
  <cp:keywords/>
  <dcterms:created xsi:type="dcterms:W3CDTF">2026-07-29T07:36:46Z</dcterms:created>
  <dcterms:modified xsi:type="dcterms:W3CDTF">2026-07-29T07:36:46Z</dcterms:modified>
</cp:coreProperties>
</file>

<file path=docProps/custom.xml><?xml version="1.0" encoding="utf-8"?>
<Properties xmlns="http://schemas.openxmlformats.org/officeDocument/2006/custom-properties" xmlns:vt="http://schemas.openxmlformats.org/officeDocument/2006/docPropsVTypes"/>
</file>