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Surgical</w:t>
      </w:r>
      <w:r>
        <w:t xml:space="preserve"> </w:t>
      </w:r>
      <w:r>
        <w:t xml:space="preserve">Profile</w:t>
      </w:r>
      <w:r>
        <w:t xml:space="preserve"> </w:t>
      </w:r>
      <w:r>
        <w:t xml:space="preserve">Analysis</w:t>
      </w:r>
      <w:r>
        <w:t xml:space="preserve"> </w:t>
      </w:r>
      <w:r>
        <w:t xml:space="preserve">for</w:t>
      </w:r>
      <w:r>
        <w:t xml:space="preserve"> </w:t>
      </w:r>
      <w:r>
        <w:t xml:space="preserve">Colombia</w:t>
      </w:r>
      <w:r>
        <w:t xml:space="preserve"> </w:t>
      </w:r>
      <w:r>
        <w:t xml:space="preserve">Bogotá</w:t>
      </w:r>
    </w:p>
    <w:p>
      <w:pPr>
        <w:pStyle w:val="FirstParagraph"/>
      </w:pPr>
      <w:r>
        <w:t xml:space="preserve">1.0 Introduction and Contextual Framework</w:t>
      </w:r>
      <w:r>
        <w:t xml:space="preserve"> </w:t>
      </w:r>
      <w:r>
        <w:t xml:space="preserve">This comprehensive Lab Report serves as a critical analytical document designed to evaluate the efficacy, safety protocols, and operational standards of surgical interventions within the specific geographic and healthcare landscape of Colombia Bogotá. The primary objective of this report is to provide a detailed assessment of the modern Surgeon's role in this urban center, considering both public health mandates and private sector excellence. As healthcare systems globally evolve toward more integrated models, understanding the nuances of surgical practice in Colombia Bogotá becomes increasingly vital for international collaboration, local policy formulation, and patient safety assurance. This document delves into the technical competencies required for a Surgeon operating in this region, addressing the unique challenges posed by urban density, diverse socioeconomic demographics4.0 Conclusion</w:t>
      </w:r>
      <w:r>
        <w:t xml:space="preserve"> </w:t>
      </w:r>
      <w:r>
        <w:t xml:space="preserve">In conclusion, this Lab Report underscores that the role of a Surgeon in Colombia Bogotá is multifaceted and demanding. It requires not only high-level technical proficiency but also deep cultural competence and adherence to rigorous international safety standards. The healthcare ecosystem in Colombia Bogotá offers robust support systems but also presents unique challenges regarding resource distribution and patient diversity. Therefore, continuous professional development, strict adherence to ethical guidelines, and a commitment to quality assurance are essential for any Surgeon aiming to provide optimal care in this dynamic metropolitan area. This report advocates for sustained investment in surgical education and infrastructure to ensure that the standards of excellence established today are maintained and improved upon for future generations of patients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Surgical Profile Analysis for Colombia Bogotá</dc:title>
  <dc:creator/>
  <dc:language>en</dc:language>
  <cp:keywords/>
  <dcterms:created xsi:type="dcterms:W3CDTF">2026-07-29T11:52:24Z</dcterms:created>
  <dcterms:modified xsi:type="dcterms:W3CDTF">2026-07-29T11:52:24Z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