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5" w:name="X96ad67692c547d5e234fc62b5d8bdc587787993"/>
    <w:p>
      <w:pPr>
        <w:pStyle w:val="Heading1"/>
      </w:pPr>
      <w:r>
        <w:t xml:space="preserve">Clinical Laboratory &amp; Surgical Intervention Report</w:t>
      </w:r>
    </w:p>
    <w:p>
      <w:pPr>
        <w:pStyle w:val="FirstParagraph"/>
      </w:pPr>
      <w:r>
        <w:rPr>
          <w:bCs/>
          <w:b/>
        </w:rPr>
        <w:t xml:space="preserve">Institution:</w:t>
      </w:r>
      <w:r>
        <w:t xml:space="preserve"> </w:t>
      </w:r>
      <w:r>
        <w:t xml:space="preserve">Cairo University Specialized Hospital, Faculty of Medicine</w:t>
      </w:r>
    </w:p>
    <w:p>
      <w:pPr>
        <w:pStyle w:val="BodyText"/>
      </w:pPr>
      <w:r>
        <w:rPr>
          <w:bCs/>
          <w:b/>
        </w:rPr>
        <w:t xml:space="preserve">Date of Report:</w:t>
      </w:r>
    </w:p>
    <w:p>
      <w:pPr>
        <w:pStyle w:val="BodyText"/>
      </w:pPr>
      <w:r>
        <w:br/>
      </w:r>
      <w:r>
        <w:br/>
      </w:r>
      <w:r>
        <w:t xml:space="preserve">Patient Name:</w:t>
      </w:r>
      <w:r>
        <w:t xml:space="preserve"> </w:t>
      </w:r>
      <w:r>
        <w:t xml:space="preserve">Patient ID / MRN:</w:t>
      </w:r>
      <w:r>
        <w:t xml:space="preserve"> </w:t>
      </w:r>
      <w:r>
        <w:t xml:space="preserve">Date of Birth:</w:t>
      </w:r>
      <w:r>
        <w:t xml:space="preserve"> </w:t>
      </w:r>
      <w:r>
        <w:t xml:space="preserve">Nationality/Residence:</w:t>
      </w:r>
    </w:p>
    <w:bookmarkStart w:id="20" w:name="i.-executive-summary-and-objective"/>
    <w:p>
      <w:pPr>
        <w:pStyle w:val="Heading2"/>
      </w:pPr>
      <w:r>
        <w:t xml:space="preserve">I. Executive Summary and Objective</w:t>
      </w:r>
    </w:p>
    <w:p>
      <w:pPr>
        <w:pStyle w:val="FirstParagraph"/>
      </w:pPr>
      <w:r>
        <w:t xml:space="preserve">This document serves as a comprehensive clinical record detailing the pre-operative assessment, intraoperative surgical procedures, and post-operative care plan for a patient treated within the metropolitan healthcare infrastructure of</w:t>
      </w:r>
      <w:r>
        <w:t xml:space="preserve"> </w:t>
      </w:r>
      <w:r>
        <w:rPr>
          <w:bCs/>
          <w:b/>
        </w:rPr>
        <w:t xml:space="preserve">Egypt Cairo</w:t>
      </w:r>
      <w:r>
        <w:t xml:space="preserve">. The primary objective of this report is to establish a transparent medical narrative regarding the diagnosis, intervention by the attending</w:t>
      </w:r>
      <w:r>
        <w:t xml:space="preserve"> </w:t>
      </w:r>
      <w:r>
        <w:rPr>
          <w:bCs/>
          <w:b/>
        </w:rPr>
        <w:t xml:space="preserve">Surgeon</w:t>
      </w:r>
      <w:r>
        <w:t xml:space="preserve">, and expected outcomes. Given the high volume of patients in urban centers like Cairo, precise documentation is critical for continuity of care, legal compliance within Egyptian health regulations, and international medical standards adherence.</w:t>
      </w:r>
    </w:p>
    <w:p>
      <w:pPr>
        <w:pStyle w:val="BodyText"/>
      </w:pPr>
      <w:r>
        <w:t xml:space="preserve">The focus of this</w:t>
      </w:r>
      <w:r>
        <w:t xml:space="preserve"> </w:t>
      </w:r>
      <w:r>
        <w:rPr>
          <w:bCs/>
          <w:b/>
        </w:rPr>
        <w:t xml:space="preserve">Lab Report</w:t>
      </w:r>
      <w:r>
        <w:t xml:space="preserve"> </w:t>
      </w:r>
      <w:r>
        <w:t xml:space="preserve">integrates diagnostic laboratory findings with surgical logs. It emphasizes the collaborative nature between laboratory medicine and surgical practice. In the context of</w:t>
      </w:r>
      <w:r>
        <w:t xml:space="preserve"> </w:t>
      </w:r>
      <w:r>
        <w:rPr>
          <w:bCs/>
          <w:b/>
        </w:rPr>
        <w:t xml:space="preserve">Egypt Cairo</w:t>
      </w:r>
      <w:r>
        <w:t xml:space="preserve">, where healthcare facilities range from government-affiliated university hospitals to private specialized centers, standardizing terminology ensures that any subsequent treating physician—whether in a local clinic in Nasr City or an international referral center—can accurately interpret the clinical data.</w:t>
      </w:r>
    </w:p>
    <w:bookmarkEnd w:id="20"/>
    <w:bookmarkStart w:id="23" w:name="ii.-patient-history-and-referral-context"/>
    <w:p>
      <w:pPr>
        <w:pStyle w:val="Heading2"/>
      </w:pPr>
      <w:r>
        <w:t xml:space="preserve">II. Patient History and Referral Context</w:t>
      </w:r>
    </w:p>
    <w:p>
      <w:pPr>
        <w:pStyle w:val="FirstParagraph"/>
      </w:pPr>
      <w:r>
        <w:t xml:space="preserve">The patient presented to the emergency department with acute abdominal pain and localized tenderness in the right lower quadrant. The referral was initiated by a primary care physician in downtown Cairo, who noted elevated inflammatory markers on initial blood work prior to surgical consultation.</w:t>
      </w:r>
    </w:p>
    <w:bookmarkStart w:id="21" w:name="risk-factors-comorbidities"/>
    <w:p>
      <w:pPr>
        <w:pStyle w:val="Heading3"/>
      </w:pPr>
      <w:r>
        <w:t xml:space="preserve">Risk Factors Comorbidities</w:t>
      </w:r>
    </w:p>
    <w:p>
      <w:pPr>
        <w:pStyle w:val="FirstParagraph"/>
      </w:pPr>
      <w:r>
        <w:t xml:space="preserve">Hypertension (Controlled via medication)</w:t>
      </w:r>
    </w:p>
    <w:p>
      <w:pPr>
        <w:pStyle w:val="BodyText"/>
      </w:pPr>
      <w:r>
        <w:t xml:space="preserve">Diabetes Mellitus Type 2 (Managed)</w:t>
      </w:r>
    </w:p>
    <w:p>
      <w:pPr>
        <w:pStyle w:val="BodyText"/>
      </w:pPr>
      <w:r>
        <w:t xml:space="preserve">Obesity (BMI: 31.5 kg/m²)</w:t>
      </w:r>
    </w:p>
    <w:bookmarkEnd w:id="21"/>
    <w:bookmarkStart w:id="22" w:name="allergies"/>
    <w:p>
      <w:pPr>
        <w:pStyle w:val="Heading3"/>
      </w:pPr>
      <w:r>
        <w:t xml:space="preserve">Allergies</w:t>
      </w:r>
    </w:p>
    <w:p>
      <w:pPr>
        <w:numPr>
          <w:ilvl w:val="0"/>
          <w:numId w:val="1001"/>
        </w:numPr>
        <w:pStyle w:val="Compact"/>
      </w:pPr>
      <w:r>
        <w:t xml:space="preserve">Penicillin: Severe anaphylactic reaction.</w:t>
      </w:r>
    </w:p>
    <w:p>
      <w:pPr>
        <w:numPr>
          <w:ilvl w:val="0"/>
          <w:numId w:val="1001"/>
        </w:numPr>
        <w:pStyle w:val="Compact"/>
      </w:pPr>
      <w:r>
        <w:t xml:space="preserve">No known allergies to latex or iodine-based contrast agents.</w:t>
      </w:r>
    </w:p>
    <w:p>
      <w:pPr>
        <w:pStyle w:val="FirstParagraph"/>
      </w:pPr>
      <w:r>
        <w:t xml:space="preserve">In the bustling medical landscape of</w:t>
      </w:r>
      <w:r>
        <w:t xml:space="preserve"> </w:t>
      </w:r>
      <w:r>
        <w:rPr>
          <w:bCs/>
          <w:b/>
        </w:rPr>
        <w:t xml:space="preserve">Egypt Cairo</w:t>
      </w:r>
      <w:r>
        <w:t xml:space="preserve">, rapid triage is essential. However, thorough history-taking remains paramount to avoid complications, particularly given the patient's comorbidities which may influence anesthesia risk and wound healing times.</w:t>
      </w:r>
    </w:p>
    <w:bookmarkEnd w:id="22"/>
    <w:bookmarkEnd w:id="23"/>
    <w:bookmarkStart w:id="25" w:name="X09ea930c735c7f35c7808d8a6fdf693f58b9ce3"/>
    <w:p>
      <w:pPr>
        <w:pStyle w:val="Heading2"/>
      </w:pPr>
      <w:r>
        <w:t xml:space="preserve">III. Diagnostic Laboratory Findings (Lab Report)</w:t>
      </w:r>
    </w:p>
    <w:p>
      <w:pPr>
        <w:pStyle w:val="FirstParagraph"/>
      </w:pPr>
      <w:r>
        <w:t xml:space="preserve">The following laboratory results were obtained upon admission and are critical for the</w:t>
      </w:r>
      <w:r>
        <w:t xml:space="preserve"> </w:t>
      </w:r>
      <w:r>
        <w:rPr>
          <w:bCs/>
          <w:b/>
        </w:rPr>
        <w:t xml:space="preserve">Surgeon</w:t>
      </w:r>
      <w:r>
        <w:t xml:space="preserve">'s decision-making process regarding the timing and nature of the intervention.</w:t>
      </w:r>
    </w:p>
    <w:bookmarkStart w:id="24" w:name="hematology-panel"/>
    <w:p>
      <w:pPr>
        <w:pStyle w:val="Heading3"/>
      </w:pPr>
      <w:r>
        <w:t xml:space="preserve">Hematology Panel</w:t>
      </w:r>
    </w:p>
    <w:p>
      <w:pPr>
        <w:pStyle w:val="FirstParagraph"/>
      </w:pPr>
      <w:r>
        <w:rPr>
          <w:bCs/>
          <w:b/>
        </w:rPr>
        <w:t xml:space="preserve">Test</w:t>
      </w:r>
    </w:p>
    <w:p>
      <w:pPr>
        <w:pStyle w:val="BodyText"/>
      </w:pPr>
      <w:r>
        <w:rPr>
          <w:bCs/>
          <w:b/>
        </w:rPr>
        <w:t xml:space="preserve">Result</w:t>
      </w:r>
    </w:p>
    <w:p>
      <w:pPr>
        <w:pStyle w:val="BodyText"/>
      </w:pPr>
      <w:r>
        <w:rPr>
          <w:bCs/>
          <w:b/>
        </w:rPr>
        <w:t xml:space="preserve">Reference Range (Local Standard)</w:t>
      </w:r>
    </w:p>
    <w:p>
      <w:pPr>
        <w:pStyle w:val="BodyText"/>
      </w:pPr>
      <w:r>
        <w:t xml:space="preserve">Clinical Significance</w:t>
      </w:r>
    </w:p>
    <w:p>
      <w:pPr>
        <w:pStyle w:val="BodyText"/>
      </w:pPr>
      <w:r>
        <w:t xml:space="preserve">White Blood Cell Count (WBC )</w:t>
      </w:r>
    </w:p>
    <w:p>
      <w:pPr>
        <w:pStyle w:val="BodyText"/>
      </w:pPr>
      <w:r>
        <w:t xml:space="preserve">14.5 x 10^9/L</w:t>
      </w:r>
    </w:p>
    <w:p>
      <w:pPr>
        <w:pStyle w:val="BodyText"/>
      </w:pPr>
      <w:r>
        <w:t xml:space="preserve">4.5 - 11.0 x 10^9/L</w:t>
      </w:r>
    </w:p>
    <w:p>
      <w:pPr>
        <w:pStyle w:val="BodyText"/>
      </w:pPr>
      <w:r>
        <w:t xml:space="preserve">Elevated, indicative of acute bacterial infection or inflammation.</w:t>
      </w:r>
    </w:p>
    <w:p>
      <w:pPr>
        <w:pStyle w:val="BodyText"/>
      </w:pPr>
      <w:r>
        <w:t xml:space="preserve">Neutrophils (%)</w:t>
      </w:r>
    </w:p>
    <w:p>
      <w:pPr>
        <w:pStyle w:val="BodyText"/>
      </w:pPr>
      <w:r>
        <w:t xml:space="preserve">82%</w:t>
      </w:r>
    </w:p>
    <w:p>
      <w:pPr>
        <w:pStyle w:val="BodyText"/>
      </w:pPr>
      <w:r>
        <w:t xml:space="preserve">40 - 75%</w:t>
      </w:r>
    </w:p>
    <w:p>
      <w:pPr>
        <w:pStyle w:val="BodyText"/>
      </w:pPr>
      <w:r>
        <w:t xml:space="preserve">Left shift suggests acute bacterial etiology.</w:t>
      </w:r>
    </w:p>
    <w:p>
      <w:pPr>
        <w:pStyle w:val="BodyText"/>
      </w:pPr>
      <w:r>
        <w:t xml:space="preserve">Hemoglobin</w:t>
      </w:r>
    </w:p>
    <w:p>
      <w:pPr>
        <w:pStyle w:val="BodyText"/>
      </w:pPr>
      <w:r>
        <w:t xml:space="preserve">12.8 g/dL</w:t>
      </w:r>
    </w:p>
    <w:p>
      <w:pPr>
        <w:pStyle w:val="BodyText"/>
      </w:pPr>
      <w:r>
        <w:t xml:space="preserve">13.5 - 17.5 g/dL (Male)</w:t>
      </w:r>
    </w:p>
    <w:p>
      <w:pPr>
        <w:pStyle w:val="BodyText"/>
      </w:pPr>
      <w:r>
        <w:t xml:space="preserve">Mild anemia, possibly due to chronic inflammation or nutritional factors.</w:t>
      </w:r>
    </w:p>
    <w:p>
      <w:pPr>
        <w:pStyle w:val="BodyText"/>
      </w:pPr>
      <w:r>
        <w:t xml:space="preserve">Coagulation Profile</w:t>
      </w:r>
    </w:p>
    <w:p>
      <w:pPr>
        <w:pStyle w:val="BodyText"/>
      </w:pPr>
      <w:r>
        <w:t xml:space="preserve">Inr (International Normalized Ratio)</w:t>
      </w:r>
    </w:p>
    <w:p>
      <w:pPr>
        <w:pStyle w:val="BodyText"/>
      </w:pPr>
      <w:r>
        <w:t xml:space="preserve">1.0</w:t>
      </w:r>
    </w:p>
    <w:p>
      <w:pPr>
        <w:pStyle w:val="BodyText"/>
      </w:pPr>
      <w:r>
        <w:t xml:space="preserve">0.8 - 1.2</w:t>
      </w:r>
    </w:p>
    <w:p>
      <w:pPr>
        <w:pStyle w:val="BodyText"/>
      </w:pPr>
      <w:r>
        <w:t xml:space="preserve">Coefficient indicates normal clotting function, suitable for surgery.</w:t>
      </w:r>
    </w:p>
    <w:p>
      <w:pPr>
        <w:pStyle w:val="BodyText"/>
      </w:pPr>
      <w:r>
        <w:t xml:space="preserve">Metabolic &amp; Infectious Markers</w:t>
      </w:r>
    </w:p>
    <w:p>
      <w:pPr>
        <w:pStyle w:val="BodyText"/>
      </w:pPr>
      <w:r>
        <w:t xml:space="preserve">C-Reactive Protein (CRP)</w:t>
      </w:r>
    </w:p>
    <w:p>
      <w:pPr>
        <w:pStyle w:val="BodyText"/>
      </w:pPr>
      <w:r>
        <w:t xml:space="preserve">120 mg/L</w:t>
      </w:r>
    </w:p>
    <w:p>
      <w:pPr>
        <w:pStyle w:val="BodyText"/>
      </w:pPr>
      <w:r>
        <w:t xml:space="preserve">&lt; 5.0 mg/L</w:t>
      </w:r>
    </w:p>
    <w:p>
      <w:pPr>
        <w:pStyle w:val="BodyText"/>
      </w:pPr>
      <w:r>
        <w:t xml:space="preserve">Markedly elevated, confirming significant acute inflammation.</w:t>
      </w:r>
    </w:p>
    <w:p>
      <w:pPr>
        <w:pStyle w:val="BodyText"/>
      </w:pPr>
      <w:r>
        <w:t xml:space="preserve">Electrolytes &amp; Renal Function</w:t>
      </w:r>
    </w:p>
    <w:p>
      <w:pPr>
        <w:pStyle w:val="BodyText"/>
      </w:pPr>
      <w:r>
        <w:t xml:space="preserve">Sodium (Na+)</w:t>
      </w:r>
    </w:p>
    <w:p>
      <w:pPr>
        <w:pStyle w:val="BodyText"/>
      </w:pPr>
      <w:r>
        <w:t xml:space="preserve">IV fluid resuscitation was administered prior to surgery to correct mild dehydration common in acute presentations. The laboratory data confirms that renal function is preserved, allowing for safe administration of antibiotics and anesthesia agents.</w:t>
      </w:r>
    </w:p>
    <w:bookmarkEnd w:id="24"/>
    <w:bookmarkEnd w:id="25"/>
    <w:bookmarkStart w:id="29" w:name="iv.-surgical-intervention-log"/>
    <w:p>
      <w:pPr>
        <w:pStyle w:val="Heading2"/>
      </w:pPr>
      <w:r>
        <w:t xml:space="preserve">IV. Surgical Intervention Log</w:t>
      </w:r>
    </w:p>
    <w:p>
      <w:pPr>
        <w:pStyle w:val="FirstParagraph"/>
      </w:pPr>
      <w:r>
        <w:t xml:space="preserve">The attending</w:t>
      </w:r>
      <w:r>
        <w:t xml:space="preserve"> </w:t>
      </w:r>
      <w:r>
        <w:rPr>
          <w:bCs/>
          <w:b/>
        </w:rPr>
        <w:t xml:space="preserve">Surgeon</w:t>
      </w:r>
      <w:r>
        <w:t xml:space="preserve">, following the review of the clinical presentation and laboratory results, determined that conservative management was insufficient due to the risk of perforation. A diagnostic laparoscopy was converted to an open appendectomy due to dense adhesions observed in previous abdominal surgeries.</w:t>
      </w:r>
    </w:p>
    <w:bookmarkStart w:id="26" w:name="pre-operative-assessment-by-surgeon"/>
    <w:p>
      <w:pPr>
        <w:pStyle w:val="Heading3"/>
      </w:pPr>
      <w:r>
        <w:t xml:space="preserve">Pre-Operative Assessment by Surgeon</w:t>
      </w:r>
    </w:p>
    <w:p>
      <w:pPr>
        <w:pStyle w:val="FirstParagraph"/>
      </w:pPr>
      <w:r>
        <w:t xml:space="preserve">The surgical team conducted a final "Time Out" verification, consistent with World Health Organization (WHO) safety guidelines adopted by major hospitals in</w:t>
      </w:r>
      <w:r>
        <w:t xml:space="preserve"> </w:t>
      </w:r>
      <w:r>
        <w:rPr>
          <w:bCs/>
          <w:b/>
        </w:rPr>
        <w:t xml:space="preserve">Egypt Cairo</w:t>
      </w:r>
      <w:r>
        <w:t xml:space="preserve">. The patient was confirmed NPO (nil per os) for at least 6 hours. Prophylactic antibiotics (Cefazolin, adjusted for Penicillin allergy to Clindamycin and Gentamicin) were administered within the last 60 minutes prior to incision.</w:t>
      </w:r>
    </w:p>
    <w:bookmarkEnd w:id="26"/>
    <w:bookmarkStart w:id="27" w:name="operative-details"/>
    <w:p>
      <w:pPr>
        <w:pStyle w:val="Heading3"/>
      </w:pPr>
      <w:r>
        <w:t xml:space="preserve">Operative Details</w:t>
      </w:r>
    </w:p>
    <w:p>
      <w:pPr>
        <w:pStyle w:val="FirstParagraph"/>
      </w:pPr>
      <w:r>
        <w:rPr>
          <w:bCs/>
          <w:b/>
        </w:rPr>
        <w:t xml:space="preserve">Anesthesia Type:</w:t>
      </w:r>
    </w:p>
    <w:p>
      <w:pPr>
        <w:pStyle w:val="BodyText"/>
      </w:pPr>
      <w:r>
        <w:rPr>
          <w:bCs/>
          <w:b/>
        </w:rPr>
        <w:t xml:space="preserve">Date of Surgery:</w:t>
      </w:r>
    </w:p>
    <w:p>
      <w:pPr>
        <w:pStyle w:val="BodyText"/>
      </w:pPr>
      <w:r>
        <w:t xml:space="preserve">The procedure was initiated at 10:00 AM Cairo Time. The patient was positioned supine. A standard grid-iron incision was made in the right lower quadrant.</w:t>
      </w:r>
    </w:p>
    <w:p>
      <w:pPr>
        <w:pStyle w:val="BodyText"/>
      </w:pPr>
      <w:r>
        <w:rPr>
          <w:bCs/>
          <w:b/>
        </w:rPr>
        <w:t xml:space="preserve">Findings:</w:t>
      </w:r>
    </w:p>
    <w:p>
      <w:pPr>
        <w:numPr>
          <w:ilvl w:val="0"/>
          <w:numId w:val="1002"/>
        </w:numPr>
        <w:pStyle w:val="Compact"/>
      </w:pPr>
      <w:r>
        <w:t xml:space="preserve">Appendix : Gangrenous appendix with localized perforation and purulent exudate in the right iliac fossa.</w:t>
      </w:r>
    </w:p>
    <w:p>
      <w:pPr>
        <w:numPr>
          <w:ilvl w:val="0"/>
          <w:numId w:val="1002"/>
        </w:numPr>
        <w:pStyle w:val="Compact"/>
      </w:pPr>
      <w:r>
        <w:t xml:space="preserve">Bowel : Small bowel loops were dilated but viable. No signs of peritonitis extending to the upper abdomen.</w:t>
      </w:r>
    </w:p>
    <w:p>
      <w:pPr>
        <w:numPr>
          <w:ilvl w:val="0"/>
          <w:numId w:val="1002"/>
        </w:numPr>
        <w:pStyle w:val="Compact"/>
      </w:pPr>
      <w:r>
        <w:t xml:space="preserve">Procedure Performed:</w:t>
      </w:r>
    </w:p>
    <w:bookmarkEnd w:id="27"/>
    <w:bookmarkStart w:id="28" w:name="X058cc5726d1b570a1b2c8eb5c86d49d94d4932e"/>
    <w:p>
      <w:pPr>
        <w:pStyle w:val="Heading3"/>
      </w:pPr>
      <w:r>
        <w:t xml:space="preserve">Post-Operative Pathology Report (Lab Correlation)</w:t>
      </w:r>
    </w:p>
    <w:p>
      <w:pPr>
        <w:pStyle w:val="FirstParagraph"/>
      </w:pPr>
      <w:r>
        <w:t xml:space="preserve">The removed appendix was sent to the histopathology laboratory. Preliminary reports indicate acute suppurative appendicitis with gangrenous changes. This lab confirmation correlates with the pre-operative imaging and clinical signs, validating the surgical decision-making.</w:t>
      </w:r>
    </w:p>
    <w:bookmarkEnd w:id="28"/>
    <w:bookmarkEnd w:id="29"/>
    <w:bookmarkStart w:id="33" w:name="v.-post-operative-care-plan"/>
    <w:p>
      <w:pPr>
        <w:pStyle w:val="Heading2"/>
      </w:pPr>
      <w:r>
        <w:t xml:space="preserve">V. Post-Operative Care Plan</w:t>
      </w:r>
    </w:p>
    <w:p>
      <w:pPr>
        <w:pStyle w:val="FirstParagraph"/>
      </w:pPr>
      <w:r>
        <w:t xml:space="preserve">The patient is currently stable in the post-anesthesia care unit (PACU) before being transferred to a general ward bed. The care plan is designed to facilitate recovery while mitigating risks associated with surgery in a high-density urban environment.</w:t>
      </w:r>
    </w:p>
    <w:bookmarkStart w:id="30" w:name="pain-management"/>
    <w:p>
      <w:pPr>
        <w:pStyle w:val="Heading3"/>
      </w:pPr>
      <w:r>
        <w:t xml:space="preserve">Pain Management</w:t>
      </w:r>
    </w:p>
    <w:p>
      <w:pPr>
        <w:pStyle w:val="FirstParagraph"/>
      </w:pPr>
      <w:r>
        <w:t xml:space="preserve">Multimodal analgesia is employed, utilizing non-opioid agents where possible to reduce side effects. Paracetamol (Acetaminophen) 1g every 6 hours and Ibuprofen 400mg every 8 hours (with food) are scheduled.</w:t>
      </w:r>
    </w:p>
    <w:bookmarkEnd w:id="30"/>
    <w:bookmarkStart w:id="31" w:name="infection-control"/>
    <w:p>
      <w:pPr>
        <w:pStyle w:val="Heading3"/>
      </w:pPr>
      <w:r>
        <w:t xml:space="preserve">Infection Control</w:t>
      </w:r>
    </w:p>
    <w:p>
      <w:pPr>
        <w:pStyle w:val="FirstParagraph"/>
      </w:pPr>
      <w:r>
        <w:t xml:space="preserve">Given the gangrenous nature of the appendix, intravenous antibiotics will be continued for a total of five days, followed by oral completion. Wound care instructions have been provided to the patient and family, emphasizing keeping the incision site dry and clean—a critical aspect in preventing surgical site infections (SSIs).</w:t>
      </w:r>
    </w:p>
    <w:bookmarkEnd w:id="31"/>
    <w:bookmarkStart w:id="32" w:name="dietary-progression"/>
    <w:p>
      <w:pPr>
        <w:pStyle w:val="Heading3"/>
      </w:pPr>
      <w:r>
        <w:t xml:space="preserve">Dietary Progression</w:t>
      </w:r>
    </w:p>
    <w:p>
      <w:pPr>
        <w:pStyle w:val="FirstParagraph"/>
      </w:pPr>
      <w:r>
        <w:t xml:space="preserve">The patient started with clear liquids on post-op day 1. Tolerance of liquids was assessed before advancing to a low-residue diet. Full dietary normalization is expected by post-op day 4.</w:t>
      </w:r>
    </w:p>
    <w:bookmarkEnd w:id="32"/>
    <w:bookmarkEnd w:id="33"/>
    <w:bookmarkStart w:id="34" w:name="vi.-discharge-planning-and-follow-up"/>
    <w:p>
      <w:pPr>
        <w:pStyle w:val="Heading2"/>
      </w:pPr>
      <w:r>
        <w:t xml:space="preserve">VI. Discharge Planning and Follow-Up</w:t>
      </w:r>
    </w:p>
    <w:p>
      <w:pPr>
        <w:pStyle w:val="FirstParagraph"/>
      </w:pPr>
      <w:r>
        <w:rPr>
          <w:bCs/>
          <w:b/>
        </w:rPr>
        <w:t xml:space="preserve">Egypt Cairo</w:t>
      </w:r>
      <w:r>
        <w:t xml:space="preserve"> </w:t>
      </w:r>
      <w:r>
        <w:t xml:space="preserve">offers excellent follow-up care networks, but compliance is key to preventing readmission. The patient is scheduled for a wound check in 7 days at the outpatient clinic. Sutures will be removed if non-dissolvable were used, or instructions given for natural shedding.</w:t>
      </w:r>
    </w:p>
    <w:p>
      <w:pPr>
        <w:pStyle w:val="BodyText"/>
      </w:pPr>
      <w:r>
        <w:rPr>
          <w:bCs/>
          <w:b/>
        </w:rPr>
        <w:t xml:space="preserve">Return Precautions:</w:t>
      </w:r>
    </w:p>
    <w:p>
      <w:pPr>
        <w:numPr>
          <w:ilvl w:val="0"/>
          <w:numId w:val="1003"/>
        </w:numPr>
        <w:pStyle w:val="Compact"/>
      </w:pPr>
      <w:r>
        <w:t xml:space="preserve">Fever &gt; 38°C (100.4°F).</w:t>
      </w:r>
    </w:p>
    <w:p>
      <w:pPr>
        <w:numPr>
          <w:ilvl w:val="0"/>
          <w:numId w:val="1003"/>
        </w:numPr>
        <w:pStyle w:val="Compact"/>
      </w:pPr>
      <w:r>
        <w:t xml:space="preserve">Increased redness, swelling, or discharge from the incision site.</w:t>
      </w:r>
    </w:p>
    <w:p>
      <w:pPr>
        <w:numPr>
          <w:ilvl w:val="0"/>
          <w:numId w:val="1003"/>
        </w:numPr>
        <w:pStyle w:val="Compact"/>
      </w:pPr>
      <w:r>
        <w:t xml:space="preserve">Persistent vomiting or inability to tolerate fluids.</w:t>
      </w:r>
    </w:p>
    <w:p>
      <w:pPr>
        <w:pStyle w:val="FirstParagraph"/>
      </w:pPr>
      <w:r>
        <w:t xml:space="preserve">The attending</w:t>
      </w:r>
      <w:r>
        <w:t xml:space="preserve"> </w:t>
      </w:r>
      <w:r>
        <w:rPr>
          <w:bCs/>
          <w:b/>
        </w:rPr>
        <w:t xml:space="preserve">Surgeon</w:t>
      </w:r>
      <w:r>
        <w:t xml:space="preserve">, Dr. [Name Placeholder], has reviewed this report and confirms that all procedures were performed according to standard medical protocols. This document serves as the official record of the hospital stay and surgical intervention for the patient residing in</w:t>
      </w:r>
    </w:p>
    <w:p>
      <w:pPr>
        <w:pStyle w:val="BodyText"/>
      </w:pPr>
      <w:r>
        <w:t xml:space="preserve">Egypt Cairo.</w:t>
      </w:r>
    </w:p>
    <w:p>
      <w:pPr>
        <w:pStyle w:val="BodyText"/>
      </w:pPr>
      <w:r>
        <w:t xml:space="preserve">Surgeon's Signature:</w:t>
      </w:r>
      <w:r>
        <w:t xml:space="preserve"> </w:t>
      </w:r>
      <w:r>
        <w:t xml:space="preserve">__________________________</w:t>
      </w:r>
      <w:r>
        <w:br/>
      </w:r>
      <w:r>
        <w:t xml:space="preserve">Date and Time:</w:t>
      </w:r>
      <w:r>
        <w:t xml:space="preserve"> </w:t>
      </w:r>
      <w:r>
        <w:t xml:space="preserve">__________________________</w:t>
      </w:r>
      <w:r>
        <w:br/>
      </w:r>
    </w:p>
    <w:p>
      <w:pPr>
        <w:pStyle w:val="BodyText"/>
      </w:pPr>
      <w:r>
        <w:t xml:space="preserve">This report is generated electronically. Any alterations must be signed and dated by the authorized medical staff. For inquiries regarding this case, please contact the Medical Records Department of Cairo University Specialized Hospital.</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2026-07-29T07:54:15Z</dcterms:created>
  <dcterms:modified xsi:type="dcterms:W3CDTF">2026-07-29T07:54:15Z</dcterms:modified>
</cp:coreProperties>
</file>

<file path=docProps/custom.xml><?xml version="1.0" encoding="utf-8"?>
<Properties xmlns="http://schemas.openxmlformats.org/officeDocument/2006/custom-properties" xmlns:vt="http://schemas.openxmlformats.org/officeDocument/2006/docPropsVTypes"/>
</file>