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Surgical</w:t>
      </w:r>
      <w:r>
        <w:t xml:space="preserve"> </w:t>
      </w:r>
      <w:r>
        <w:t xml:space="preserve">Intervention</w:t>
      </w:r>
      <w:r>
        <w:t xml:space="preserve"> </w:t>
      </w:r>
      <w:r>
        <w:t xml:space="preserve">Protocols</w:t>
      </w:r>
      <w:r>
        <w:t xml:space="preserve"> </w:t>
      </w:r>
      <w:r>
        <w:t xml:space="preserve">in</w:t>
      </w:r>
      <w:r>
        <w:t xml:space="preserve"> </w:t>
      </w:r>
      <w:r>
        <w:t xml:space="preserve">Baghdad:</w:t>
      </w:r>
      <w:r>
        <w:t xml:space="preserve"> </w:t>
      </w:r>
      <w:r>
        <w:t xml:space="preserve">A</w:t>
      </w:r>
      <w:r>
        <w:t xml:space="preserve"> </w:t>
      </w:r>
      <w:r>
        <w:t xml:space="preserve">Comprehensive</w:t>
      </w:r>
      <w:r>
        <w:t xml:space="preserve"> </w:t>
      </w:r>
      <w:r>
        <w:t xml:space="preserve">Lab</w:t>
      </w:r>
      <w:r>
        <w:t xml:space="preserve"> </w:t>
      </w:r>
      <w:r>
        <w:t xml:space="preserve">Report</w:t>
      </w:r>
    </w:p>
    <w:bookmarkStart w:id="30" w:name="laboratory-and-clinical-analysis-report"/>
    <w:p>
      <w:pPr>
        <w:pStyle w:val="Heading1"/>
      </w:pPr>
      <w:r>
        <w:t xml:space="preserve">Laboratory and Clinical Analysis Report</w:t>
      </w:r>
    </w:p>
    <w:p>
      <w:pPr>
        <w:pStyle w:val="FirstParagraph"/>
      </w:pPr>
      <w:r>
        <w:t xml:space="preserve">Subject: Surgical Intervention Protocols and Resource Optimization in Iraq Baghdad</w:t>
      </w:r>
    </w:p>
    <w:p>
      <w:pPr>
        <w:pStyle w:val="BodyText"/>
      </w:pPr>
      <w:r>
        <w:rPr>
          <w:bCs/>
          <w:b/>
        </w:rPr>
        <w:t xml:space="preserve">Date:</w:t>
      </w:r>
      <w:r>
        <w:t xml:space="preserve"> </w:t>
      </w:r>
      <w:r>
        <w:t xml:space="preserve">October 26, 2023</w:t>
      </w:r>
    </w:p>
    <w:p>
      <w:pPr>
        <w:pStyle w:val="BodyText"/>
      </w:pPr>
      <w:r>
        <w:rPr>
          <w:bCs/>
          <w:b/>
        </w:rPr>
        <w:t xml:space="preserve">Patient/Subject Category:</w:t>
      </w:r>
      <w:r>
        <w:t xml:space="preserve"> </w:t>
      </w:r>
      <w:r>
        <w:t xml:space="preserve">Urban Trauma and Post-Conflict Surgical Care</w:t>
      </w:r>
    </w:p>
    <w:p>
      <w:pPr>
        <w:pStyle w:val="BodyText"/>
      </w:pPr>
      <w:r>
        <w:rPr>
          <w:bCs/>
          <w:b/>
        </w:rPr>
        <w:t xml:space="preserve">Location Focus:</w:t>
      </w:r>
      <w:r>
        <w:t xml:space="preserve"> </w:t>
      </w:r>
      <w:r>
        <w:t xml:space="preserve">Iraq Baghdad, Republic of Iraq</w:t>
      </w:r>
    </w:p>
    <w:bookmarkStart w:id="20" w:name="X3ff0e46e46be8c4118c60ef119436a86608695a"/>
    <w:p>
      <w:pPr>
        <w:pStyle w:val="Heading2"/>
      </w:pPr>
      <w:r>
        <w:t xml:space="preserve">1. Executive Summary and Introduction to the Baghdad Context</w:t>
      </w:r>
    </w:p>
    <w:p>
      <w:pPr>
        <w:pStyle w:val="FirstParagraph"/>
      </w:pPr>
      <w:r>
        <w:t xml:space="preserve">This document serves as a comprehensive Lab Report detailing the operational, clinical, and logistical requirements for deploying a highly specialized Surgeon within the complex medical landscape of</w:t>
      </w:r>
      <w:r>
        <w:t xml:space="preserve"> </w:t>
      </w:r>
      <w:r>
        <w:rPr>
          <w:bCs/>
          <w:b/>
        </w:rPr>
        <w:t xml:space="preserve">Iraq Baghdad</w:t>
      </w:r>
      <w:r>
        <w:t xml:space="preserve">. The capital city of Iraq has undergone significant transformation in recent years, evolving from a post-conflict reconstruction phase to a growing metropolitan hub. However, the healthcare infrastructure remains under immense pressure due to high population density, variable resource availability, and the lingering effects of historical instability. Consequently, the role of a</w:t>
      </w:r>
      <w:r>
        <w:t xml:space="preserve"> </w:t>
      </w:r>
      <w:r>
        <w:rPr>
          <w:bCs/>
          <w:b/>
        </w:rPr>
        <w:t xml:space="preserve">Surgeon</w:t>
      </w:r>
      <w:r>
        <w:t xml:space="preserve"> </w:t>
      </w:r>
      <w:r>
        <w:t xml:space="preserve">in this region is not merely clinical but also strategic, requiring adaptability in equipment usage and decision-making under constraint.</w:t>
      </w:r>
    </w:p>
    <w:p>
      <w:pPr>
        <w:pStyle w:val="BodyText"/>
      </w:pPr>
      <w:r>
        <w:t xml:space="preserve">The primary objective of this report is to outline the necessary protocols for trauma management, infectious disease control within surgical wards, and the logistical support required to maintain sterile environments in a semi-arid urban setting. By analyzing current medical data from major hospitals in</w:t>
      </w:r>
      <w:r>
        <w:t xml:space="preserve"> </w:t>
      </w:r>
      <w:r>
        <w:rPr>
          <w:bCs/>
          <w:b/>
        </w:rPr>
        <w:t xml:space="preserve">Iraq Baghdad</w:t>
      </w:r>
      <w:r>
        <w:t xml:space="preserve">, such as Al-Kindi Teaching Hospital and Adil Hospital, this Lab Report provides a framework for optimizing surgical outcomes.</w:t>
      </w:r>
    </w:p>
    <w:bookmarkEnd w:id="20"/>
    <w:bookmarkStart w:id="21" w:name="X7dce17c7839d7e8cff17358580f243c5d9392dc"/>
    <w:p>
      <w:pPr>
        <w:pStyle w:val="Heading2"/>
      </w:pPr>
      <w:r>
        <w:t xml:space="preserve">2. Environmental and Infrastructure Assessment</w:t>
      </w:r>
    </w:p>
    <w:p>
      <w:pPr>
        <w:pStyle w:val="FirstParagraph"/>
      </w:pPr>
      <w:r>
        <w:t xml:space="preserve">A critical component of any medical deployment is the assessment of the physical environment. In</w:t>
      </w:r>
      <w:r>
        <w:t xml:space="preserve"> </w:t>
      </w:r>
      <w:r>
        <w:rPr>
          <w:bCs/>
          <w:b/>
        </w:rPr>
        <w:t xml:space="preserve">Iraq Baghdad</w:t>
      </w:r>
      <w:r>
        <w:t xml:space="preserve">, several factors influence surgical precision and patient safety:</w:t>
      </w:r>
    </w:p>
    <w:p>
      <w:pPr>
        <w:numPr>
          <w:ilvl w:val="0"/>
          <w:numId w:val="1001"/>
        </w:numPr>
        <w:pStyle w:val="Compact"/>
      </w:pPr>
      <w:r>
        <w:rPr>
          <w:bCs/>
          <w:b/>
        </w:rPr>
        <w:t xml:space="preserve">Powder Control:</w:t>
      </w:r>
      <w:r>
        <w:t xml:space="preserve"> </w:t>
      </w:r>
      <w:r>
        <w:t xml:space="preserve">The semi-arid climate contributes to dust accumulation, which poses a severe risk for Surgical Site Infections (SSIs). Air filtration systems in operating theaters must be upgraded or maintained rigorously.</w:t>
      </w:r>
    </w:p>
    <w:p>
      <w:pPr>
        <w:numPr>
          <w:ilvl w:val="0"/>
          <w:numId w:val="1001"/>
        </w:numPr>
        <w:pStyle w:val="Compact"/>
      </w:pPr>
      <w:r>
        <w:rPr>
          <w:bCs/>
          <w:b/>
        </w:rPr>
        <w:t xml:space="preserve">Power Stability:</w:t>
      </w:r>
      <w:r>
        <w:t xml:space="preserve"> </w:t>
      </w:r>
      <w:r>
        <w:t xml:space="preserve">While the electrical grid has improved, fluctuations still occur. Backup generators are mandatory. The Lab Report indicates that uninterruptible power supplies (UPS) for anesthesia machines and vital sign monitors must be tested weekly.</w:t>
      </w:r>
    </w:p>
    <w:p>
      <w:pPr>
        <w:numPr>
          <w:ilvl w:val="0"/>
          <w:numId w:val="1001"/>
        </w:numPr>
        <w:pStyle w:val="Compact"/>
      </w:pPr>
      <w:r>
        <w:rPr>
          <w:bCs/>
          <w:b/>
        </w:rPr>
        <w:t xml:space="preserve">Cold Chain Integrity:</w:t>
      </w:r>
      <w:r>
        <w:t xml:space="preserve"> </w:t>
      </w:r>
      <w:r>
        <w:t xml:space="preserve">For blood banking and vaccine storage, consistent cooling is essential due to high ambient temperatures in Baghdad during summer months.</w:t>
      </w:r>
    </w:p>
    <w:bookmarkEnd w:id="21"/>
    <w:bookmarkStart w:id="24" w:name="Xa1e27af36e87fe8823de4edff2c0099adf41f21"/>
    <w:p>
      <w:pPr>
        <w:pStyle w:val="Heading2"/>
      </w:pPr>
      <w:r>
        <w:t xml:space="preserve">3. Clinical Profile: The Role of the Surgeon in Baghdad</w:t>
      </w:r>
    </w:p>
    <w:p>
      <w:pPr>
        <w:pStyle w:val="FirstParagraph"/>
      </w:pPr>
      <w:r>
        <w:t xml:space="preserve">The profile of the average patient presenting for emergency surgery in</w:t>
      </w:r>
      <w:r>
        <w:t xml:space="preserve"> </w:t>
      </w:r>
      <w:r>
        <w:rPr>
          <w:bCs/>
          <w:b/>
        </w:rPr>
        <w:t xml:space="preserve">Iraq Baghdad</w:t>
      </w:r>
    </w:p>
    <w:bookmarkStart w:id="22" w:name="trauma-surgery-priorities"/>
    <w:p>
      <w:pPr>
        <w:pStyle w:val="Heading3"/>
      </w:pPr>
      <w:r>
        <w:t xml:space="preserve">3.1 Trauma Surgery Priorities</w:t>
      </w:r>
    </w:p>
    <w:p>
      <w:pPr>
        <w:pStyle w:val="FirstParagraph"/>
      </w:pPr>
      <w:r>
        <w:t xml:space="preserve">Trauma centers in Baghdad see a disproportionate number of penetrating abdominal injuries. The</w:t>
      </w:r>
      <w:r>
        <w:t xml:space="preserve"> </w:t>
      </w:r>
      <w:r>
        <w:rPr>
          <w:bCs/>
          <w:b/>
        </w:rPr>
        <w:t xml:space="preserve">Surgeon</w:t>
      </w:r>
      <w:r>
        <w:t xml:space="preserve"> </w:t>
      </w:r>
      <w:r>
        <w:t xml:space="preserve">must possess advanced skills in damage control surgery, allowing for rapid stabilization before definitive repair. This involves:</w:t>
      </w:r>
    </w:p>
    <w:p>
      <w:pPr>
        <w:numPr>
          <w:ilvl w:val="0"/>
          <w:numId w:val="1002"/>
        </w:numPr>
        <w:pStyle w:val="Compact"/>
      </w:pPr>
      <w:r>
        <w:t xml:space="preserve">Rapid assessment using FAST (Focused Assessment with Sonography for Trauma) protocols.</w:t>
      </w:r>
    </w:p>
    <w:p>
      <w:pPr>
        <w:numPr>
          <w:ilvl w:val="0"/>
          <w:numId w:val="1002"/>
        </w:numPr>
        <w:pStyle w:val="Compact"/>
      </w:pPr>
      <w:r>
        <w:t xml:space="preserve">Mastery of laparotomy techniques under time-constrained conditions.</w:t>
      </w:r>
    </w:p>
    <w:p>
      <w:pPr>
        <w:numPr>
          <w:ilvl w:val="0"/>
          <w:numId w:val="1002"/>
        </w:numPr>
        <w:pStyle w:val="Compact"/>
      </w:pPr>
      <w:r>
        <w:t xml:space="preserve">Efficacy in managing hemorrhage when blood product availability may be intermittent.</w:t>
      </w:r>
    </w:p>
    <w:bookmarkEnd w:id="22"/>
    <w:bookmarkStart w:id="23" w:name="infectious-disease-considerations"/>
    <w:p>
      <w:pPr>
        <w:pStyle w:val="Heading3"/>
      </w:pPr>
      <w:r>
        <w:t xml:space="preserve">3.2 Infectious Disease Considerations</w:t>
      </w:r>
    </w:p>
    <w:p>
      <w:pPr>
        <w:pStyle w:val="FirstParagraph"/>
      </w:pPr>
      <w:r>
        <w:t xml:space="preserve">Endemic diseases such as Hepatitis C and various tropical infections require the</w:t>
      </w:r>
      <w:r>
        <w:t xml:space="preserve"> </w:t>
      </w:r>
      <w:r>
        <w:rPr>
          <w:bCs/>
          <w:b/>
        </w:rPr>
        <w:t xml:space="preserve">Surgeon</w:t>
      </w:r>
      <w:r>
        <w:t xml:space="preserve"> </w:t>
      </w:r>
      <w:r>
        <w:t xml:space="preserve">to adopt heightened sterile techniques. Laboratory reports from local hospitals indicate rising resistance rates among common pathogens, necessitating empiric antibiotic therapy adjustments based on local antibiograms. The Surgeon must collaborate closely with microbiologists to ensure that pre-operative cultures are interpreted correctly within the specific context of</w:t>
      </w:r>
      <w:r>
        <w:t xml:space="preserve"> </w:t>
      </w:r>
      <w:r>
        <w:rPr>
          <w:bCs/>
          <w:b/>
        </w:rPr>
        <w:t xml:space="preserve">Iraq Baghdad's</w:t>
      </w:r>
      <w:r>
        <w:t xml:space="preserve"> </w:t>
      </w:r>
      <w:r>
        <w:t xml:space="preserve">epidemiological data.</w:t>
      </w:r>
    </w:p>
    <w:bookmarkEnd w:id="23"/>
    <w:bookmarkEnd w:id="24"/>
    <w:bookmarkStart w:id="25" w:name="X8b0bba510126698fd5cfa4e4ee977a2d38b3e02"/>
    <w:p>
      <w:pPr>
        <w:pStyle w:val="Heading2"/>
      </w:pPr>
      <w:r>
        <w:t xml:space="preserve">4. Laboratory Analysis and Diagnostic Support</w:t>
      </w:r>
    </w:p>
    <w:p>
      <w:pPr>
        <w:pStyle w:val="FirstParagraph"/>
      </w:pPr>
      <w:r>
        <w:t xml:space="preserve">The synergy between the operating room and the laboratory is vital. In many facilities across</w:t>
      </w:r>
      <w:r>
        <w:t xml:space="preserve"> </w:t>
      </w:r>
      <w:r>
        <w:rPr>
          <w:bCs/>
          <w:b/>
        </w:rPr>
        <w:t xml:space="preserve">Iraq Baghdad</w:t>
      </w:r>
      <w:r>
        <w:t xml:space="preserve">, diagnostic delays can impact surgical timing. This Lab Report recommends the implementation of Point-of-Care Testing (POCT) where possible.</w:t>
      </w:r>
    </w:p>
    <w:p>
      <w:pPr>
        <w:pStyle w:val="BodyText"/>
      </w:pPr>
      <w:r>
        <w:t xml:space="preserve">Laboratory Parameter</w:t>
      </w:r>
    </w:p>
    <w:p>
      <w:pPr>
        <w:pStyle w:val="BodyText"/>
      </w:pPr>
      <w:r>
        <w:t xml:space="preserve">Clinical Relevance for Surgeon</w:t>
      </w:r>
    </w:p>
    <w:p>
      <w:pPr>
        <w:pStyle w:val="BodyText"/>
      </w:pPr>
      <w:r>
        <w:t xml:space="preserve">Status in Iraq Baghdad Facilities</w:t>
      </w:r>
    </w:p>
    <w:p>
      <w:pPr>
        <w:pStyle w:val="BodyText"/>
      </w:pPr>
      <w:r>
        <w:t xml:space="preserve">Hemoglobin/Hematocrit</w:t>
      </w:r>
    </w:p>
    <w:p>
      <w:pPr>
        <w:pStyle w:val="BodyText"/>
      </w:pPr>
      <w:r>
        <w:t xml:space="preserve">Rapid assessment of blood loss and need for transfusion.</w:t>
      </w:r>
    </w:p>
    <w:p>
      <w:pPr>
        <w:pStyle w:val="BodyText"/>
      </w:pPr>
      <w:r>
        <w:rPr>
          <w:bCs/>
          <w:b/>
        </w:rPr>
        <w:t xml:space="preserve">Adequate:</w:t>
      </w:r>
      <w:r>
        <w:t xml:space="preserve"> </w:t>
      </w:r>
      <w:r>
        <w:t xml:space="preserve">Available in major urban centers, but supply chain issues may affect reagent quality.</w:t>
      </w:r>
    </w:p>
    <w:p>
      <w:pPr>
        <w:pStyle w:val="BodyText"/>
      </w:pPr>
      <w:r>
        <w:t xml:space="preserve">C-Reactive Protein (CRP)</w:t>
      </w:r>
    </w:p>
    <w:p>
      <w:pPr>
        <w:pStyle w:val="BodyText"/>
      </w:pPr>
      <w:r>
        <w:t xml:space="preserve">Inflammatory marker to detect early post-op infection.</w:t>
      </w:r>
    </w:p>
    <w:p>
      <w:pPr>
        <w:pStyle w:val="BodyText"/>
      </w:pPr>
      <w:r>
        <w:rPr>
          <w:bCs/>
          <w:b/>
        </w:rPr>
        <w:t xml:space="preserve">Moderate:</w:t>
      </w:r>
      <w:r>
        <w:t xml:space="preserve"> </w:t>
      </w:r>
      <w:r>
        <w:t xml:space="preserve">Interpretation requires awareness of baseline inflammation levels in chronic trauma patients.</w:t>
      </w:r>
    </w:p>
    <w:p>
      <w:pPr>
        <w:pStyle w:val="BodyText"/>
      </w:pPr>
      <w:r>
        <w:t xml:space="preserve">Blood Cultures</w:t>
      </w:r>
    </w:p>
    <w:p>
      <w:pPr>
        <w:pStyle w:val="BodyText"/>
      </w:pPr>
      <w:r>
        <w:t xml:space="preserve">Germ identification for sepsis management.</w:t>
      </w:r>
    </w:p>
    <w:p>
      <w:pPr>
        <w:pStyle w:val="BodyText"/>
      </w:pPr>
      <w:r>
        <w:rPr>
          <w:bCs/>
          <w:b/>
        </w:rPr>
        <w:t xml:space="preserve">Limited:</w:t>
      </w:r>
    </w:p>
    <w:bookmarkEnd w:id="25"/>
    <w:bookmarkStart w:id="26" w:name="Xf7d35e354713bb74611e29e2c31d4d0f9b91880"/>
    <w:p>
      <w:pPr>
        <w:pStyle w:val="Heading2"/>
      </w:pPr>
      <w:r>
        <w:t xml:space="preserve">5. Logistical Recommendations and Supply Chain</w:t>
      </w:r>
    </w:p>
    <w:p>
      <w:pPr>
        <w:pStyle w:val="FirstParagraph"/>
      </w:pPr>
      <w:r>
        <w:t xml:space="preserve">To ensure the efficacy of a</w:t>
      </w:r>
      <w:r>
        <w:t xml:space="preserve"> </w:t>
      </w:r>
      <w:r>
        <w:rPr>
          <w:bCs/>
          <w:b/>
        </w:rPr>
        <w:t xml:space="preserve">Surgeon</w:t>
      </w:r>
      <w:r>
        <w:t xml:space="preserve">'s practice in this region, specific supply chain adjustments are recommended:</w:t>
      </w:r>
    </w:p>
    <w:p>
      <w:pPr>
        <w:numPr>
          <w:ilvl w:val="0"/>
          <w:numId w:val="1003"/>
        </w:numPr>
        <w:pStyle w:val="Compact"/>
      </w:pPr>
      <w:r>
        <w:rPr>
          <w:bCs/>
          <w:b/>
        </w:rPr>
        <w:t xml:space="preserve">Suture Stock:</w:t>
      </w:r>
      <w:r>
        <w:t xml:space="preserve"> </w:t>
      </w:r>
      <w:r>
        <w:t xml:space="preserve">Import delays can occur. It is advised to maintain a three-month surplus of essential suture types (vicryl, prolene) and sterile gloves.</w:t>
      </w:r>
    </w:p>
    <w:p>
      <w:pPr>
        <w:numPr>
          <w:ilvl w:val="0"/>
          <w:numId w:val="1003"/>
        </w:numPr>
        <w:pStyle w:val="Compact"/>
      </w:pPr>
      <w:r>
        <w:rPr>
          <w:bCs/>
          <w:b/>
        </w:rPr>
        <w:t xml:space="preserve">Anesthetic Agents:</w:t>
      </w:r>
      <w:r>
        <w:t xml:space="preserve"> </w:t>
      </w:r>
      <w:r>
        <w:t xml:space="preserve">Short-acting neuromuscular blockers and volatile anesthetics must be prioritized for storage due to temperature sensitivity.</w:t>
      </w:r>
    </w:p>
    <w:p>
      <w:pPr>
        <w:numPr>
          <w:ilvl w:val="0"/>
          <w:numId w:val="1003"/>
        </w:numPr>
        <w:pStyle w:val="Compact"/>
      </w:pPr>
      <w:r>
        <w:rPr>
          <w:bCs/>
          <w:b/>
        </w:rPr>
        <w:t xml:space="preserve">Surgical Instruments:</w:t>
      </w:r>
      <w:r>
        <w:t xml:space="preserve"> </w:t>
      </w:r>
      <w:r>
        <w:t xml:space="preserve">Given the cost of replacement, instruments should be double-stocked to allow for continuous sterilization cycles. The</w:t>
      </w:r>
      <w:r>
        <w:t xml:space="preserve"> </w:t>
      </w:r>
      <w:r>
        <w:rPr>
          <w:bCs/>
          <w:b/>
        </w:rPr>
        <w:t xml:space="preserve">Surgeon</w:t>
      </w:r>
      <w:r>
        <w:t xml:space="preserve"> </w:t>
      </w:r>
      <w:r>
        <w:t xml:space="preserve">should advocate for rigorous instrument maintenance training among local biomedical engineers.</w:t>
      </w:r>
    </w:p>
    <w:bookmarkEnd w:id="26"/>
    <w:bookmarkStart w:id="27" w:name="human-resources-and-training"/>
    <w:p>
      <w:pPr>
        <w:pStyle w:val="Heading2"/>
      </w:pPr>
      <w:r>
        <w:t xml:space="preserve">6. Human Resources and Training</w:t>
      </w:r>
    </w:p>
    <w:p>
      <w:pPr>
        <w:pStyle w:val="FirstParagraph"/>
      </w:pPr>
      <w:r>
        <w:t xml:space="preserve">Sustainability is a key goal of international medical interventions in</w:t>
      </w:r>
      <w:r>
        <w:t xml:space="preserve"> </w:t>
      </w:r>
      <w:r>
        <w:rPr>
          <w:bCs/>
          <w:b/>
        </w:rPr>
        <w:t xml:space="preserve">Iraq Baghdad</w:t>
      </w:r>
      <w:r>
        <w:t xml:space="preserve">. The presence of the visiting Surgeon should include a robust mentorship component. This Lab Report suggests that 30% of the Surgeon's time be dedicated to teaching local residents and nurses. Topics should include:</w:t>
      </w:r>
    </w:p>
    <w:p>
      <w:pPr>
        <w:numPr>
          <w:ilvl w:val="0"/>
          <w:numId w:val="1004"/>
        </w:numPr>
        <w:pStyle w:val="Compact"/>
      </w:pPr>
      <w:r>
        <w:t xml:space="preserve">Aseptic non-touch technique (ANTT).</w:t>
      </w:r>
    </w:p>
    <w:p>
      <w:pPr>
        <w:numPr>
          <w:ilvl w:val="0"/>
          <w:numId w:val="1004"/>
        </w:numPr>
        <w:pStyle w:val="Compact"/>
      </w:pPr>
      <w:r>
        <w:t xml:space="preserve">Rapid sequence induction for anesthesia.</w:t>
      </w:r>
    </w:p>
    <w:p>
      <w:pPr>
        <w:numPr>
          <w:ilvl w:val="0"/>
          <w:numId w:val="1004"/>
        </w:numPr>
        <w:pStyle w:val="Compact"/>
      </w:pPr>
      <w:r>
        <w:t xml:space="preserve">Trauma team leadership and communication.</w:t>
      </w:r>
    </w:p>
    <w:p>
      <w:pPr>
        <w:pStyle w:val="FirstParagraph"/>
      </w:pPr>
      <w:r>
        <w:t xml:space="preserve">By embedding knowledge within the local workforce, the impact extends beyond direct patient care, creating a resilient surgical ecosystem in Baghdad.</w:t>
      </w:r>
    </w:p>
    <w:bookmarkEnd w:id="27"/>
    <w:bookmarkStart w:id="28" w:name="ethical-and-cultural-considerations"/>
    <w:p>
      <w:pPr>
        <w:pStyle w:val="Heading2"/>
      </w:pPr>
      <w:r>
        <w:t xml:space="preserve">7. Ethical and Cultural Considerations</w:t>
      </w:r>
    </w:p>
    <w:p>
      <w:pPr>
        <w:pStyle w:val="FirstParagraph"/>
      </w:pPr>
      <w:r>
        <w:t xml:space="preserve">Operating in</w:t>
      </w:r>
      <w:r>
        <w:t xml:space="preserve"> </w:t>
      </w:r>
      <w:r>
        <w:rPr>
          <w:bCs/>
          <w:b/>
        </w:rPr>
        <w:t xml:space="preserve">Iraq Baghdad</w:t>
      </w:r>
      <w:r>
        <w:t xml:space="preserve"> </w:t>
      </w:r>
      <w:r>
        <w:t xml:space="preserve">requires deep cultural sensitivity. The Surgeon must understand family dynamics in decision-making processes, which often involve extended family elders rather than just the immediate next of kin. Additionally, gender preferences for care providers should be respected when feasible, though in emergency trauma situations, clinical need takes precedence. Building trust with the community is essential for compliance with post-operative care instructions and follow-up appointments.</w:t>
      </w:r>
    </w:p>
    <w:bookmarkEnd w:id="28"/>
    <w:bookmarkStart w:id="29" w:name="conclusion"/>
    <w:p>
      <w:pPr>
        <w:pStyle w:val="Heading2"/>
      </w:pPr>
      <w:r>
        <w:t xml:space="preserve">8. Conclusion</w:t>
      </w:r>
    </w:p>
    <w:p>
      <w:pPr>
        <w:pStyle w:val="FirstParagraph"/>
      </w:pPr>
      <w:r>
        <w:t xml:space="preserve">The deployment of a skilled</w:t>
      </w:r>
      <w:r>
        <w:t xml:space="preserve"> </w:t>
      </w:r>
      <w:r>
        <w:rPr>
          <w:bCs/>
          <w:b/>
        </w:rPr>
        <w:t xml:space="preserve">Surgeon</w:t>
      </w:r>
      <w:r>
        <w:t xml:space="preserve"> </w:t>
      </w:r>
      <w:r>
        <w:t xml:space="preserve">to</w:t>
      </w:r>
      <w:r>
        <w:t xml:space="preserve"> </w:t>
      </w:r>
      <w:r>
        <w:rPr>
          <w:bCs/>
          <w:b/>
        </w:rPr>
        <w:t xml:space="preserve">Iraq Baghdad</w:t>
      </w:r>
      <w:r>
        <w:t xml:space="preserve"> </w:t>
      </w:r>
      <w:r>
        <w:t xml:space="preserve">represents a critical opportunity to improve survival rates and quality of life for the local population. However, success is contingent upon adapting medical practices to the local environmental, logistical, and cultural realities. This Lab Report underscores that technical surgical skill must be paired with logistical resilience and collaborative education.</w:t>
      </w:r>
    </w:p>
    <w:p>
      <w:pPr>
        <w:pStyle w:val="BodyText"/>
      </w:pPr>
      <w:r>
        <w:t xml:space="preserve">The healthcare infrastructure in Baghdad is recovering but remains fragile. By addressing power stability, infection control protocols related to dust and heat, and strengthening laboratory diagnostic feedback loops, medical missions can achieve sustainable results. The Surgeon acts not only as a healer of wounds but as a stabilizer within the broader medical community of the capital.</w:t>
      </w:r>
    </w:p>
    <w:p>
      <w:pPr>
        <w:pStyle w:val="BodyText"/>
      </w:pPr>
      <w:r>
        <w:rPr>
          <w:bCs/>
          <w:b/>
        </w:rPr>
        <w:t xml:space="preserve">Final Recommendation:</w:t>
      </w:r>
      <w:r>
        <w:t xml:space="preserve"> </w:t>
      </w:r>
      <w:r>
        <w:t xml:space="preserve">Proceed with deployment pending final verification of generator capacities at designated operating theaters in Baghdad and confirmation of local Ministry of Health partnership agreements for importation of specialized surgical consumables.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Surgical Intervention Protocols in Baghdad: A Comprehensive Lab Report</dc:title>
  <dc:creator/>
  <dc:language>en</dc:language>
  <cp:keywords/>
  <dcterms:created xsi:type="dcterms:W3CDTF">2026-07-29T13:19:33Z</dcterms:created>
  <dcterms:modified xsi:type="dcterms:W3CDTF">2026-07-29T13:19:33Z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