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Evaluation:</w:t>
      </w:r>
      <w:r>
        <w:t xml:space="preserve"> </w:t>
      </w:r>
      <w:r>
        <w:t xml:space="preserve">Surgical</w:t>
      </w:r>
      <w:r>
        <w:t xml:space="preserve"> </w:t>
      </w:r>
      <w:r>
        <w:t xml:space="preserve">Intervention</w:t>
      </w:r>
      <w:r>
        <w:t xml:space="preserve"> </w:t>
      </w:r>
      <w:r>
        <w:t xml:space="preserve">and</w:t>
      </w:r>
      <w:r>
        <w:t xml:space="preserve"> </w:t>
      </w:r>
      <w:r>
        <w:t xml:space="preserve">Professional</w:t>
      </w:r>
      <w:r>
        <w:t xml:space="preserve"> </w:t>
      </w:r>
      <w:r>
        <w:t xml:space="preserve">Competency</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32" w:name="X23ed125aa205db33ce3249efe6dd5353debd1e4"/>
    <w:p>
      <w:pPr>
        <w:pStyle w:val="Heading1"/>
      </w:pPr>
      <w:r>
        <w:t xml:space="preserve">Clinical Audit and Professional Competency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Academic Medical Centre (AMC), Department of Surgical Sciences</w:t>
      </w:r>
      <w:r>
        <w:br/>
      </w:r>
      <w:r>
        <w:rPr>
          <w:bCs/>
          <w:b/>
        </w:rPr>
        <w:t xml:space="preserve">Location:</w:t>
      </w:r>
      <w:r>
        <w:t xml:space="preserve"> </w:t>
      </w:r>
      <w:r>
        <w:t xml:space="preserve">Netherlands Amsterdam</w:t>
      </w:r>
      <w:r>
        <w:br/>
      </w:r>
      <w:r>
        <w:rPr>
          <w:bCs/>
          <w:b/>
        </w:rPr>
        <w:t xml:space="preserve">Subject:</w:t>
      </w:r>
      <w:r>
        <w:t xml:space="preserve"> </w:t>
      </w:r>
      <w:r>
        <w:t xml:space="preserve">Comprehensive Evaluation of Surgeon Performance Metrics and Surgical Outcomes</w:t>
      </w:r>
    </w:p>
    <w:bookmarkStart w:id="20" w:name="acknowledgements"/>
    <w:p>
      <w:pPr>
        <w:pStyle w:val="Heading2"/>
      </w:pPr>
      <w:r>
        <w:rPr>
          <w:iCs/>
          <w:i/>
        </w:rPr>
        <w:t xml:space="preserve">Acknowledgements</w:t>
      </w:r>
    </w:p>
    <w:p>
      <w:pPr>
        <w:pStyle w:val="FirstParagraph"/>
      </w:pPr>
      <w:r>
        <w:t xml:space="preserve">This document serves as a formal Lab Report documenting the rigorous assessment protocols applied to surgical practitioners within the healthcare infrastructure of Amsterdam. The primary objective of this report is to analyze the clinical efficacy, ethical adherence, and technical precision of a designated Surgeon operating within the highly regulated medical environment of Netherlands Amsterdam. As one of Europe’s leading hubs for medical innovation and patient care standards, Netherlands Amsterdam demands a level of surgical excellence that is both empirically measured and qualitatively assessed. This report details the methodologies used to evaluate these high-stakes variables.</w:t>
      </w:r>
    </w:p>
    <w:bookmarkEnd w:id="20"/>
    <w:bookmarkStart w:id="21" w:name="introduction"/>
    <w:p>
      <w:pPr>
        <w:pStyle w:val="Heading2"/>
      </w:pPr>
      <w:r>
        <w:rPr>
          <w:bCs/>
          <w:b/>
        </w:rPr>
        <w:t xml:space="preserve">1. Introduction</w:t>
      </w:r>
    </w:p>
    <w:p>
      <w:pPr>
        <w:pStyle w:val="FirstParagraph"/>
      </w:pPr>
      <w:r>
        <w:t xml:space="preserve">The role of a Surgeon extends far beyond technical proficiency; it encompasses a complex interplay of decision-making, risk management, and patient communication. In the context of Netherlands Amsterdam, where healthcare is characterized by high technological integration and strict regulatory oversight from institutions such as the Dutch Healthcare Authority (NZa), the scrutiny placed on surgical practitioners is intense. This Lab Report aims to dissect these performance metrics.</w:t>
      </w:r>
    </w:p>
    <w:p>
      <w:pPr>
        <w:pStyle w:val="BodyText"/>
      </w:pPr>
      <w:r>
        <w:t xml:space="preserve">The hypothesis of this evaluation is that a Surgeon operating in Netherlands Amsterdam must demonstrate not only superior operative outcomes but also seamless integration with multidisciplinary teams, adherence to Dutch ethical codes, and responsiveness to the unique demographic challenges presented by the urban population of Amsterdam. By treating surgical performance as a measurable variable within a controlled clinical "laboratory" setting, we can isolate factors contributing to success or failure in patient recovery.</w:t>
      </w:r>
    </w:p>
    <w:bookmarkEnd w:id="21"/>
    <w:bookmarkStart w:id="24" w:name="methodology"/>
    <w:p>
      <w:pPr>
        <w:pStyle w:val="Heading2"/>
      </w:pPr>
      <w:r>
        <w:rPr>
          <w:bCs/>
          <w:b/>
        </w:rPr>
        <w:t xml:space="preserve">2. Methodology</w:t>
      </w:r>
    </w:p>
    <w:p>
      <w:pPr>
        <w:pStyle w:val="FirstParagraph"/>
      </w:pPr>
      <w:r>
        <w:t xml:space="preserve">The evaluation process utilized a multi-modal approach to assess the Surgeon’s performance. Data was collected over a six-month period involving retrospective analysis of surgical logs, prospective observation of operative techniques, and post-operative patient follow-ups.</w:t>
      </w:r>
    </w:p>
    <w:bookmarkStart w:id="22" w:name="sample-selection"/>
    <w:p>
      <w:pPr>
        <w:pStyle w:val="Heading3"/>
      </w:pPr>
      <w:r>
        <w:rPr>
          <w:iCs/>
          <w:i/>
        </w:rPr>
        <w:t xml:space="preserve">2.1 Sample Selection</w:t>
      </w:r>
    </w:p>
    <w:p>
      <w:pPr>
        <w:pStyle w:val="FirstParagraph"/>
      </w:pPr>
      <w:r>
        <w:t xml:space="preserve">The sample consisted of thirty complex surgical procedures performed by the designated Surgeon at a tertiary care facility in Netherlands Amsterdam. These cases were selected to represent a high-acuity environment, ensuring that the assessment reflects real-world pressure conditions typical of major Dutch metropolitan hospitals.</w:t>
      </w:r>
    </w:p>
    <w:bookmarkEnd w:id="22"/>
    <w:bookmarkStart w:id="23" w:name="metrics-for-analysis"/>
    <w:p>
      <w:pPr>
        <w:pStyle w:val="Heading3"/>
      </w:pPr>
      <w:r>
        <w:rPr>
          <w:iCs/>
          <w:i/>
        </w:rPr>
        <w:t xml:space="preserve">2.2 Metrics for Analysis</w:t>
      </w:r>
    </w:p>
    <w:p>
      <w:pPr>
        <w:numPr>
          <w:ilvl w:val="0"/>
          <w:numId w:val="1001"/>
        </w:numPr>
        <w:pStyle w:val="Compact"/>
      </w:pPr>
      <w:r>
        <w:rPr>
          <w:bCs/>
          <w:b/>
        </w:rPr>
        <w:t xml:space="preserve">Intraoperative Precision:</w:t>
      </w:r>
      <w:r>
        <w:t xml:space="preserve"> </w:t>
      </w:r>
      <w:r>
        <w:t xml:space="preserve">Measured via time-to-completion and error rate in tissue handling.</w:t>
      </w:r>
    </w:p>
    <w:p>
      <w:pPr>
        <w:numPr>
          <w:ilvl w:val="0"/>
          <w:numId w:val="1001"/>
        </w:numPr>
        <w:pStyle w:val="Compact"/>
      </w:pPr>
      <w:r>
        <w:rPr>
          <w:bCs/>
          <w:b/>
        </w:rPr>
        <w:t xml:space="preserve">Clinical Outcomes:</w:t>
      </w:r>
      <w:r>
        <w:t xml:space="preserve"> </w:t>
      </w:r>
      <w:r>
        <w:t xml:space="preserve">Assessed through infection rates, readmission statistics, and mortality rates within 30 days post-surgery.</w:t>
      </w:r>
    </w:p>
    <w:p>
      <w:pPr>
        <w:numPr>
          <w:ilvl w:val="0"/>
          <w:numId w:val="1001"/>
        </w:numPr>
        <w:pStyle w:val="Compact"/>
      </w:pPr>
      <w:r>
        <w:rPr>
          <w:iCs/>
          <w:i/>
        </w:rPr>
        <w:t xml:space="preserve">Patient Satisfaction Scores:</w:t>
      </w:r>
      <w:r>
        <w:t xml:space="preserve"> </w:t>
      </w:r>
      <w:r>
        <w:t xml:space="preserve">Collected via standardized Dutch healthcare patient surveys (VKI).</w:t>
      </w:r>
    </w:p>
    <w:p>
      <w:pPr>
        <w:numPr>
          <w:ilvl w:val="0"/>
          <w:numId w:val="1001"/>
        </w:numPr>
        <w:pStyle w:val="Compact"/>
      </w:pPr>
      <w:r>
        <w:rPr>
          <w:bCs/>
          <w:b/>
        </w:rPr>
        <w:t xml:space="preserve">Critical Thinking:</w:t>
      </w:r>
      <w:r>
        <w:t xml:space="preserve"> </w:t>
      </w:r>
      <w:r>
        <w:t xml:space="preserve">Evaluated through simulation-based scenario testing focused on emergency complication management.</w:t>
      </w:r>
    </w:p>
    <w:bookmarkEnd w:id="23"/>
    <w:bookmarkEnd w:id="24"/>
    <w:bookmarkStart w:id="28" w:name="results"/>
    <w:p>
      <w:pPr>
        <w:pStyle w:val="Heading2"/>
      </w:pPr>
      <w:r>
        <w:rPr>
          <w:bCs/>
          <w:b/>
        </w:rPr>
        <w:t xml:space="preserve">3. Results</w:t>
      </w:r>
    </w:p>
    <w:p>
      <w:pPr>
        <w:pStyle w:val="FirstParagraph"/>
      </w:pPr>
      <w:r>
        <w:t xml:space="preserve">The data collected reveals a high standard of performance, though with specific areas requiring further refinement. The Surgeon demonstrated an exceptional ability to maintain sterility protocols, aligning with the stringent hygiene standards enforced in Netherlands Amsterdam.</w:t>
      </w:r>
    </w:p>
    <w:bookmarkStart w:id="25" w:name="surgical-efficacy"/>
    <w:p>
      <w:pPr>
        <w:pStyle w:val="Heading3"/>
      </w:pPr>
      <w:r>
        <w:rPr>
          <w:iCs/>
          <w:i/>
        </w:rPr>
        <w:t xml:space="preserve">3.1 Surgical Efficacy</w:t>
      </w:r>
    </w:p>
    <w:p>
      <w:pPr>
        <w:pStyle w:val="FirstParagraph"/>
      </w:pPr>
      <w:r>
        <w:t xml:space="preserve">The operative success rate stood at 96%, slightly above the national average for comparable procedures in the region. The reduction in blood loss was statistically significant, attributed to advanced laparoscopic techniques mastered by the Surgeon. These results suggest that the individual possesses a technical proficiency that meets and often exceeds the benchmarks set by surgical boards in Netherlands Amsterdam.</w:t>
      </w:r>
    </w:p>
    <w:bookmarkEnd w:id="25"/>
    <w:bookmarkStart w:id="26" w:name="complication-rates"/>
    <w:p>
      <w:pPr>
        <w:pStyle w:val="Heading3"/>
      </w:pPr>
      <w:r>
        <w:rPr>
          <w:iCs/>
          <w:i/>
        </w:rPr>
        <w:t xml:space="preserve">3.2 Complication Rates</w:t>
      </w:r>
    </w:p>
    <w:p>
      <w:pPr>
        <w:pStyle w:val="FirstParagraph"/>
      </w:pPr>
      <w:r>
        <w:t xml:space="preserve">A notable finding was the low rate of post-operative infections (0.5%). This is critical, as infection control is a primary focus for healthcare providers in the densely populated urban environment of Amsterdam. The Surgeon’s adherence to preventive antibiotics and sterile technique appears robust.</w:t>
      </w:r>
    </w:p>
    <w:bookmarkEnd w:id="26"/>
    <w:bookmarkStart w:id="27" w:name="communication-and-team-dynamics"/>
    <w:p>
      <w:pPr>
        <w:pStyle w:val="Heading3"/>
      </w:pPr>
      <w:r>
        <w:rPr>
          <w:iCs/>
          <w:i/>
        </w:rPr>
        <w:t xml:space="preserve">3.3 Communication and Team Dynamics</w:t>
      </w:r>
    </w:p>
    <w:p>
      <w:pPr>
        <w:pStyle w:val="FirstParagraph"/>
      </w:pPr>
      <w:r>
        <w:t xml:space="preserve">In addition to technical skills, the Surgeon’s ability to communicate with nursing staff and anesthesiologists was rated highly. Effective communication is a cornerstone of safety culture in Dutch hospitals. However, feedback from patient interviews indicated that while clinical explanations were accurate, they could be simplified further for non-medical audiences. This nuance is essential for maintaining informed consent standards in Netherlands Amsterdam.</w:t>
      </w:r>
    </w:p>
    <w:bookmarkEnd w:id="27"/>
    <w:bookmarkEnd w:id="28"/>
    <w:bookmarkStart w:id="29" w:name="discussion"/>
    <w:p>
      <w:pPr>
        <w:pStyle w:val="Heading2"/>
      </w:pPr>
      <w:r>
        <w:rPr>
          <w:bCs/>
          <w:b/>
        </w:rPr>
        <w:t xml:space="preserve">4. Discussion</w:t>
      </w:r>
    </w:p>
    <w:p>
      <w:pPr>
        <w:pStyle w:val="FirstParagraph"/>
      </w:pPr>
      <w:r>
        <w:t xml:space="preserve">The findings of this Lab Report underscore the multifaceted nature of surgical excellence. While technical skill is paramount, the context of practice in Netherlands Amsterdam introduces unique variables. The urban density, diverse patient population, and high expectation for personalized care require a Surgeon who is adaptable and empathetic.</w:t>
      </w:r>
    </w:p>
    <w:p>
      <w:pPr>
        <w:pStyle w:val="BodyText"/>
      </w:pPr>
      <w:r>
        <w:t xml:space="preserve">The correlation between clear communication and reduced post-operative anxiety was evident in this study. Patients who received detailed pre-operative briefings reported higher satisfaction levels, suggesting that education is as critical as the operation itself. Furthermore, the integration of digital health records in Netherlands Amsterdam requires Surgeons to be proficient not only with scalpels but also with electronic data systems, a hybrid skill set increasingly demanded by modern Dutch healthcare institutions.</w:t>
      </w:r>
    </w:p>
    <w:p>
      <w:pPr>
        <w:pStyle w:val="BodyText"/>
      </w:pPr>
      <w:r>
        <w:t xml:space="preserve">Comparing these results to broader national data, the Surgeon’s performance aligns well with top-tier benchmarks. However, continuous professional development is necessary to maintain this status. The dynamic nature of medical science means that static competence is insufficient; adaptability is key.</w:t>
      </w:r>
    </w:p>
    <w:bookmarkEnd w:id="29"/>
    <w:bookmarkStart w:id="30" w:name="conclusion"/>
    <w:p>
      <w:pPr>
        <w:pStyle w:val="Heading2"/>
      </w:pPr>
      <w:r>
        <w:rPr>
          <w:bCs/>
          <w:b/>
        </w:rPr>
        <w:t xml:space="preserve">5. Conclusion</w:t>
      </w:r>
    </w:p>
    <w:p>
      <w:pPr>
        <w:pStyle w:val="FirstParagraph"/>
      </w:pPr>
      <w:r>
        <w:t xml:space="preserve">In conclusion, this Lab Report affirms that the evaluated Surgeon demonstrates a high degree of competency suitable for practice in Netherlands Amsterdam. The combination of technical precision, low complication rates, and strong team integration supports their continued licensure and professional advancement. Nevertheless, attention to patient communication styles remains an area for ongoing improvement.</w:t>
      </w:r>
    </w:p>
    <w:p>
      <w:pPr>
        <w:pStyle w:val="BodyText"/>
      </w:pPr>
      <w:r>
        <w:t xml:space="preserve">The healthcare landscape in Netherlands Amsterdam is competitive and demanding. Only those who view surgery as both a science and an art will thrive. This report serves as a testament to the rigorous standards maintained by our institution and the high caliber of medical professionals dedicated to serving the community of Amsterdam.</w:t>
      </w:r>
    </w:p>
    <w:bookmarkEnd w:id="30"/>
    <w:bookmarkStart w:id="31" w:name="recommendations"/>
    <w:p>
      <w:pPr>
        <w:pStyle w:val="Heading2"/>
      </w:pPr>
      <w:r>
        <w:rPr>
          <w:bCs/>
          <w:b/>
        </w:rPr>
        <w:t xml:space="preserve">6. Recommendations</w:t>
      </w:r>
    </w:p>
    <w:p>
      <w:pPr>
        <w:numPr>
          <w:ilvl w:val="0"/>
          <w:numId w:val="1002"/>
        </w:numPr>
        <w:pStyle w:val="Compact"/>
      </w:pPr>
      <w:r>
        <w:rPr>
          <w:bCs/>
          <w:b/>
        </w:rPr>
        <w:t xml:space="preserve">Ongoing Training:</w:t>
      </w:r>
      <w:r>
        <w:t xml:space="preserve"> </w:t>
      </w:r>
      <w:r>
        <w:t xml:space="preserve">Implement quarterly simulations focused on emergency communication protocols.</w:t>
      </w:r>
    </w:p>
    <w:p>
      <w:pPr>
        <w:numPr>
          <w:ilvl w:val="0"/>
          <w:numId w:val="1002"/>
        </w:numPr>
        <w:pStyle w:val="Compact"/>
      </w:pPr>
      <w:r>
        <w:rPr>
          <w:iCs/>
          <w:i/>
        </w:rPr>
        <w:t xml:space="preserve">Patient Education Materials:</w:t>
      </w:r>
      <w:r>
        <w:t xml:space="preserve">: Develop simplified, multilingual brochures to enhance patient understanding of surgical risks and benefits.</w:t>
      </w:r>
    </w:p>
    <w:p>
      <w:pPr>
        <w:numPr>
          <w:ilvl w:val="0"/>
          <w:numId w:val="1002"/>
        </w:numPr>
        <w:pStyle w:val="Compact"/>
      </w:pPr>
      <w:r>
        <w:rPr>
          <w:bCs/>
          <w:b/>
        </w:rPr>
        <w:t xml:space="preserve">Data Monitoring:</w:t>
      </w:r>
      <w:r>
        <w:t xml:space="preserve"> </w:t>
      </w:r>
      <w:r>
        <w:t xml:space="preserve">Continue longitudinal tracking of post-operative outcomes to ensure sustained performance in Netherlands Amsterdam standards.</w:t>
      </w:r>
    </w:p>
    <w:p>
      <w:pPr>
        <w:pStyle w:val="FirstParagraph"/>
      </w:pPr>
      <w:r>
        <w:rPr>
          <w:iCs/>
          <w:i/>
        </w:rPr>
        <w:t xml:space="preserve">This report is confidential and intended solely for internal review by the Department of Surgical Affairs at the Academic Medical Centre, Netherlands Amsterdam.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Evaluation: Surgical Intervention and Professional Competency Analysis in Netherlands Amsterdam</dc:title>
  <dc:creator/>
  <dc:language>en</dc:language>
  <cp:keywords/>
  <dcterms:created xsi:type="dcterms:W3CDTF">2026-07-29T02:49:35Z</dcterms:created>
  <dcterms:modified xsi:type="dcterms:W3CDTF">2026-07-29T02:49:35Z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