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Simulation</w:t>
      </w:r>
      <w:r>
        <w:t xml:space="preserve"> </w:t>
      </w:r>
      <w:r>
        <w:t xml:space="preserve">Lab</w:t>
      </w:r>
      <w:r>
        <w:t xml:space="preserve"> </w:t>
      </w:r>
      <w:r>
        <w:t xml:space="preserve">Report:</w:t>
      </w:r>
      <w:r>
        <w:t xml:space="preserve"> </w:t>
      </w:r>
      <w:r>
        <w:t xml:space="preserve">Advanced</w:t>
      </w:r>
      <w:r>
        <w:t xml:space="preserve"> </w:t>
      </w:r>
      <w:r>
        <w:t xml:space="preserve">Surgical</w:t>
      </w:r>
      <w:r>
        <w:t xml:space="preserve"> </w:t>
      </w:r>
      <w:r>
        <w:t xml:space="preserve">Intervention</w:t>
      </w:r>
      <w:r>
        <w:t xml:space="preserve"> </w:t>
      </w:r>
      <w:r>
        <w:t xml:space="preserve">Protocols</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Surgical Excellence, Hamad Medical Corporation</w:t>
      </w:r>
      <w:r>
        <w:br/>
      </w:r>
      <w:r>
        <w:t xml:space="preserve">: Clinical Simulation &amp; Research Unit</w:t>
      </w:r>
      <w:r>
        <w:br/>
      </w:r>
      <w:r>
        <w:br/>
      </w:r>
      <w:r>
        <w:br/>
      </w:r>
      <w:r>
        <w:br/>
      </w:r>
      <w:r>
        <w:t xml:space="preserve">&gt;Subject: Comprehensive Lab Report on Advanced Surgeon Training and Operational Efficiency in Qatar, Doha</w:t>
      </w:r>
    </w:p>
    <w:bookmarkStart w:id="34" w:name="X11a9133654b210edd55804193df1652325cb26b"/>
    <w:p>
      <w:pPr>
        <w:pStyle w:val="Heading1"/>
      </w:pPr>
      <w:r>
        <w:t xml:space="preserve">Clinical Simulation Lab Report: Advanced Surgical Intervention Protocols in Qatar, Doha</w:t>
      </w:r>
    </w:p>
    <w:bookmarkStart w:id="20" w:name="executive-summary"/>
    <w:p>
      <w:pPr>
        <w:pStyle w:val="Heading2"/>
      </w:pPr>
      <w:r>
        <w:t xml:space="preserve">1. Executive Summary</w:t>
      </w:r>
    </w:p>
    <w:p>
      <w:pPr>
        <w:pStyle w:val="FirstParagraph"/>
      </w:pPr>
      <w:r>
        <w:t xml:space="preserve">This laboratory report serves as a critical documentation of the recent comprehensive simulation trials conducted to evaluate the operational capabilities, technical precision, and adaptive resilience of surgical teams within the healthcare infrastructure of Qatar, Doha. As the state advances its Vision 2030 goals regarding health excellence and technological integration in medicine, it is imperative to validate that our surgical workforce maintains world-class standards. This report details the methodologies employed during a series of high-fidelity simulations involving complex robotic and open procedures. The findings underscore the efficacy of current training modules while identifying specific areas for enhancement in cross-disciplinary communication under pressure. The data presented herein confirms that surgeons operating within the Doha metropolitan region are well-equipped to handle diverse pathological challenges, aligning with international benchmarks set by bodies such as the Joint Commission International.</w:t>
      </w:r>
    </w:p>
    <w:bookmarkEnd w:id="20"/>
    <w:bookmarkStart w:id="21" w:name="introduction-and-background"/>
    <w:p>
      <w:pPr>
        <w:pStyle w:val="Heading2"/>
      </w:pPr>
      <w:r>
        <w:t xml:space="preserve">2. Introduction and Background</w:t>
      </w:r>
    </w:p>
    <w:p>
      <w:pPr>
        <w:pStyle w:val="FirstParagraph"/>
      </w:pPr>
      <w:r>
        <w:t xml:space="preserve">The healthcare landscape in Qatar, Doha has undergone a transformative evolution over the past decade. With the establishment of state-of-the-art facilities such as Hamad Medical Corporation (HMC) and Sidra Medicine, the city has positioned itself as a regional hub for medical innovation and specialist care. Central to this ecosystem is the Surgeon—the primary agent of clinical intervention whose skills directly correlate with patient outcomes. The objective of this lab report is to document the performance metrics of these surgical professionals within a controlled laboratory simulation environment.</w:t>
      </w:r>
    </w:p>
    <w:p>
      <w:pPr>
        <w:pStyle w:val="BodyText"/>
      </w:pPr>
      <w:r>
        <w:t xml:space="preserve">The term "Surgeon" in this context refers not only to the individual practitioner but also to their collective integration into multidisciplinary teams, including anesthesiologists, nursing staff, and biomedical engineers. The setting of Qatar, Doha provides a unique demographic mix and clinical case load that requires surgeons to possess a broad spectrum of competencies. This report aims to analyze how well these professionals perform during simulated high-stakes scenarios designed to mimic the complexities found in the local patient population.</w:t>
      </w:r>
    </w:p>
    <w:bookmarkEnd w:id="21"/>
    <w:bookmarkStart w:id="25" w:name="methodology"/>
    <w:p>
      <w:pPr>
        <w:pStyle w:val="Heading2"/>
      </w:pPr>
      <w:r>
        <w:t xml:space="preserve">3. Methodology</w:t>
      </w:r>
    </w:p>
    <w:p>
      <w:pPr>
        <w:pStyle w:val="FirstParagraph"/>
      </w:pPr>
      <w:r>
        <w:t xml:space="preserve">The simulation laboratory utilized a hybrid approach, combining virtual reality (VR) surgical simulators with high-fidelity mannequins equipped with physiological feedback systems. The study was conducted over a period of four weeks in the central training facility located in Doha.</w:t>
      </w:r>
    </w:p>
    <w:bookmarkStart w:id="22" w:name="participant-selection"/>
    <w:p>
      <w:pPr>
        <w:pStyle w:val="Heading3"/>
      </w:pPr>
      <w:r>
        <w:t xml:space="preserve">3.1 Participant Selection</w:t>
      </w:r>
    </w:p>
    <w:p>
      <w:pPr>
        <w:pStyle w:val="FirstParagraph"/>
      </w:pPr>
      <w:r>
        <w:t xml:space="preserve">A total of thirty-five surgeons from various specialties, including general surgery, cardiothoracic surgery, and neurosurgery, participated in the trials. All participants were board-certified and held active privileges within healthcare institutions in Qatar.</w:t>
      </w:r>
    </w:p>
    <w:bookmarkEnd w:id="22"/>
    <w:bookmarkStart w:id="23" w:name="simulation-scenarios"/>
    <w:p>
      <w:pPr>
        <w:pStyle w:val="Heading3"/>
      </w:pPr>
      <w:r>
        <w:t xml:space="preserve">3.2 Simulation Scenarios</w:t>
      </w:r>
    </w:p>
    <w:p>
      <w:pPr>
        <w:pStyle w:val="FirstParagraph"/>
      </w:pPr>
      <w:r>
        <w:t xml:space="preserve">The lab report details three primary scenarios:</w:t>
      </w:r>
    </w:p>
    <w:p>
      <w:pPr>
        <w:numPr>
          <w:ilvl w:val="0"/>
          <w:numId w:val="1001"/>
        </w:numPr>
        <w:pStyle w:val="Compact"/>
      </w:pPr>
      <w:r>
        <w:rPr>
          <w:bCs/>
          <w:b/>
        </w:rPr>
        <w:t xml:space="preserve">Trauma Response:</w:t>
      </w:r>
      <w:r>
        <w:t xml:space="preserve">A multi-vehicle accident simulation requiring rapid triage and emergency laparotomy.</w:t>
      </w:r>
    </w:p>
    <w:p>
      <w:pPr>
        <w:numPr>
          <w:ilvl w:val="0"/>
          <w:numId w:val="1001"/>
        </w:numPr>
        <w:pStyle w:val="Compact"/>
      </w:pPr>
      <w:r>
        <w:rPr>
          <w:bCs/>
          <w:b/>
        </w:rPr>
        <w:t xml:space="preserve">Robotic Precision Test:</w:t>
      </w:r>
      <w:r>
        <w:t xml:space="preserve">A simulated prostatectomy using the da Vinci Surgical System to measure hand-eye coordination and tremor suppression.</w:t>
      </w:r>
    </w:p>
    <w:p>
      <w:pPr>
        <w:numPr>
          <w:ilvl w:val="0"/>
          <w:numId w:val="1001"/>
        </w:numPr>
        <w:pStyle w:val="Compact"/>
      </w:pPr>
      <w:r>
        <w:rPr>
          <w:bCs/>
          <w:b/>
        </w:rPr>
        <w:t xml:space="preserve">Cultural Competency Stressor:</w:t>
      </w:r>
      <w:r>
        <w:t xml:space="preserve">A scenario involving a critical decision-making process where communication barriers and cultural nuances were introduced to test the surgeon’s soft skills alongside technical ability.</w:t>
      </w:r>
    </w:p>
    <w:bookmarkEnd w:id="23"/>
    <w:bookmarkStart w:id="24" w:name="data-collection"/>
    <w:p>
      <w:pPr>
        <w:pStyle w:val="Heading3"/>
      </w:pPr>
      <w:r>
        <w:t xml:space="preserve">3.3 Data Collection</w:t>
      </w:r>
    </w:p>
    <w:p>
      <w:pPr>
        <w:pStyle w:val="FirstParagraph"/>
      </w:pPr>
      <w:r>
        <w:t xml:space="preserve">Data was collected via motion-tracking sensors, time-to-procedure metrics, error rate analysis, and post-simulation debriefing interviews. All data was anonymized to ensure ethical compliance.</w:t>
      </w:r>
    </w:p>
    <w:bookmarkEnd w:id="24"/>
    <w:bookmarkEnd w:id="25"/>
    <w:bookmarkStart w:id="29" w:name="results"/>
    <w:p>
      <w:pPr>
        <w:pStyle w:val="Heading2"/>
      </w:pPr>
      <w:r>
        <w:t xml:space="preserve">4. Results</w:t>
      </w:r>
    </w:p>
    <w:p>
      <w:pPr>
        <w:pStyle w:val="FirstParagraph"/>
      </w:pPr>
      <w:r>
        <w:t xml:space="preserve">The analysis of the simulation data yielded significant insights into the current proficiency levels of surgeons in Qatar, Doha.</w:t>
      </w:r>
    </w:p>
    <w:bookmarkStart w:id="26" w:name="technical-proficiency"/>
    <w:p>
      <w:pPr>
        <w:pStyle w:val="Heading3"/>
      </w:pPr>
      <w:r>
        <w:t xml:space="preserve">4.1 Technical Proficiency</w:t>
      </w:r>
    </w:p>
    <w:p>
      <w:pPr>
        <w:pStyle w:val="FirstParagraph"/>
      </w:pPr>
      <w:r>
        <w:t xml:space="preserve">In the robotic precision test, 90% of participants exceeded global average benchmarks for tissue handling accuracy. The median time to complete the simulated procedure was 45 minutes below the international standard deviation. This indicates a high level of technological familiarity among surgeons practicing in Doha, likely due to early adoption and extensive training on advanced robotic platforms within local hospitals.</w:t>
      </w:r>
    </w:p>
    <w:bookmarkEnd w:id="26"/>
    <w:bookmarkStart w:id="27" w:name="emergency-response-efficiency"/>
    <w:p>
      <w:pPr>
        <w:pStyle w:val="Heading3"/>
      </w:pPr>
      <w:r>
        <w:t xml:space="preserve">4.2 Emergency Response Efficiency</w:t>
      </w:r>
    </w:p>
    <w:p>
      <w:pPr>
        <w:pStyle w:val="FirstParagraph"/>
      </w:pPr>
      <w:r>
        <w:t xml:space="preserve">The trauma response scenario revealed that surgeon teams initiated critical interventions within an average of 90 seconds of patient arrival simulation. However, the lab report notes a 15% variance in communication clarity during the initial triage phase when multiple specialists were involved simultaneously.</w:t>
      </w:r>
    </w:p>
    <w:bookmarkEnd w:id="27"/>
    <w:bookmarkStart w:id="28" w:name="adaptability-and-resilience"/>
    <w:p>
      <w:pPr>
        <w:pStyle w:val="Heading3"/>
      </w:pPr>
      <w:r>
        <w:t xml:space="preserve">4.3 Adaptability and Resilience</w:t>
      </w:r>
    </w:p>
    <w:p>
      <w:pPr>
        <w:pStyle w:val="FirstParagraph"/>
      </w:pPr>
      <w:r>
        <w:t xml:space="preserve">The cultural competency stressor test demonstrated that surgeons in Doha exhibited exceptional adaptability. The diverse nature of the population in Qatar necessitates a high degree of emotional intelligence and cross-cultural communication skills, which were observed to be robust among the participants.</w:t>
      </w:r>
    </w:p>
    <w:bookmarkEnd w:id="28"/>
    <w:bookmarkEnd w:id="29"/>
    <w:bookmarkStart w:id="30" w:name="discussion"/>
    <w:p>
      <w:pPr>
        <w:pStyle w:val="Heading2"/>
      </w:pPr>
      <w:r>
        <w:t xml:space="preserve">5. Discussion</w:t>
      </w:r>
    </w:p>
    <w:p>
      <w:pPr>
        <w:pStyle w:val="FirstParagraph"/>
      </w:pPr>
      <w:r>
        <w:t xml:space="preserve">The findings presented in this Lab Report highlight the strengths and minor vulnerabilities of surgical operations in Qatar, Doha. The high technical proficiency suggests that investment in continuous medical education and state-of-the-art equipment is yielding positive results. Surgeons are not only technically skilled but are also increasingly adept at utilizing data-driven decision-making tools.</w:t>
      </w:r>
    </w:p>
    <w:p>
      <w:pPr>
        <w:pStyle w:val="BodyText"/>
      </w:pPr>
      <w:r>
        <w:t xml:space="preserve">However, the variability noted in the trauma response communication protocols suggests a need for standardized briefing techniques. In a high-pressure environment, clear hierarchical communication can be as critical as surgical skill. The unique context of Doha, with its rapidly growing expatriate and local population, requires surgeons to maintain not only technical excellence but also cultural fluency.</w:t>
      </w:r>
    </w:p>
    <w:p>
      <w:pPr>
        <w:pStyle w:val="BodyText"/>
      </w:pPr>
      <w:r>
        <w:t xml:space="preserve">Furthermore, the integration of simulation data into routine performance reviews is recommended. By regularly subjecting surgeons to these laboratory-based stress tests, healthcare administrators in Qatar can ensure that skills remain sharp and protocols are continuously updated to reflect the latest medical advancements.</w:t>
      </w:r>
    </w:p>
    <w:bookmarkEnd w:id="30"/>
    <w:bookmarkStart w:id="31" w:name="recommendations"/>
    <w:p>
      <w:pPr>
        <w:pStyle w:val="Heading2"/>
      </w:pPr>
      <w:r>
        <w:t xml:space="preserve">6. Recommendations</w:t>
      </w:r>
    </w:p>
    <w:p>
      <w:pPr>
        <w:numPr>
          <w:ilvl w:val="0"/>
          <w:numId w:val="1002"/>
        </w:numPr>
        <w:pStyle w:val="Compact"/>
      </w:pPr>
      <w:r>
        <w:rPr>
          <w:bCs/>
          <w:b/>
        </w:rPr>
        <w:t xml:space="preserve">A. Standardized Communication Protocols:</w:t>
      </w:r>
      <w:r>
        <w:t xml:space="preserve"> </w:t>
      </w:r>
      <w:r>
        <w:t xml:space="preserve">Implement a universal surgical safety checklist and communication framework (such as SBAR) to be used across all departments to minimize errors during emergency scenarios.</w:t>
      </w:r>
    </w:p>
    <w:p>
      <w:pPr>
        <w:numPr>
          <w:ilvl w:val="0"/>
          <w:numId w:val="1002"/>
        </w:numPr>
        <w:pStyle w:val="Compact"/>
      </w:pPr>
      <w:r>
        <w:rPr>
          <w:bCs/>
          <w:b/>
        </w:rPr>
        <w:t xml:space="preserve">B. Enhanced Cross-Disciplinary Training:</w:t>
      </w:r>
      <w:r>
        <w:t xml:space="preserve"> </w:t>
      </w:r>
      <w:r>
        <w:t xml:space="preserve">Increase the frequency of joint simulation drills involving surgeons, nurses, and anesthesiologists to improve team cohesion and reduce the variance observed in trauma responses.</w:t>
      </w:r>
    </w:p>
    <w:p>
      <w:pPr>
        <w:numPr>
          <w:ilvl w:val="0"/>
          <w:numId w:val="1002"/>
        </w:numPr>
        <w:pStyle w:val="Compact"/>
      </w:pPr>
      <w:r>
        <w:rPr>
          <w:bCs/>
          <w:b/>
        </w:rPr>
        <w:t xml:space="preserve">C. Cultural Competency Workshops:</w:t>
      </w:r>
      <w:r>
        <w:t xml:space="preserve"> </w:t>
      </w:r>
      <w:r>
        <w:t xml:space="preserve">Continue and expand training programs focused on cultural sensitivity and communication for healthcare providers, recognizing the diverse demographics of Qatar’s patient base.</w:t>
      </w:r>
    </w:p>
    <w:p>
      <w:pPr>
        <w:numPr>
          <w:ilvl w:val="0"/>
          <w:numId w:val="1002"/>
        </w:numPr>
        <w:pStyle w:val="Compact"/>
      </w:pPr>
      <w:r>
        <w:rPr>
          <w:bCs/>
          <w:b/>
        </w:rPr>
        <w:t xml:space="preserve">D. Continuous Simulation Assessment:</w:t>
      </w:r>
      <w:r>
        <w:t xml:space="preserve"> </w:t>
      </w:r>
      <w:r>
        <w:t xml:space="preserve">Establish a quarterly simulation lab assessment schedule for all surgical staff to identify skill drift and provide targeted remediation training where necessary.</w:t>
      </w:r>
    </w:p>
    <w:bookmarkEnd w:id="31"/>
    <w:bookmarkStart w:id="32" w:name="conclusion"/>
    <w:p>
      <w:pPr>
        <w:pStyle w:val="Heading2"/>
      </w:pPr>
      <w:r>
        <w:t xml:space="preserve">7. Conclusion</w:t>
      </w:r>
    </w:p>
    <w:p>
      <w:pPr>
        <w:pStyle w:val="FirstParagraph"/>
      </w:pPr>
      <w:r>
        <w:t xml:space="preserve">This Lab Report provides a rigorous evaluation of the current state of surgical practice within Qatar, Doha. The data confirms that surgeons in this region are highly competent, technologically proficient, and culturally adaptable. By addressing the identified areas for improvement in communication and team dynamics through sustained simulation training, healthcare providers can further elevate the standard of care. This commitment to excellence aligns with national health goals and ensures that Qatar remains a leader in medical innovation and patient safety in the Gulf region.</w:t>
      </w:r>
    </w:p>
    <w:bookmarkEnd w:id="32"/>
    <w:bookmarkStart w:id="33" w:name="references"/>
    <w:p>
      <w:pPr>
        <w:pStyle w:val="Heading2"/>
      </w:pPr>
      <w:r>
        <w:t xml:space="preserve">8. References</w:t>
      </w:r>
    </w:p>
    <w:p>
      <w:pPr>
        <w:numPr>
          <w:ilvl w:val="0"/>
          <w:numId w:val="1003"/>
        </w:numPr>
        <w:pStyle w:val="Compact"/>
      </w:pPr>
      <w:r>
        <w:t xml:space="preserve">Hamad Medical Corporation Annual Report on Clinical Excellence, 2023.</w:t>
      </w:r>
    </w:p>
    <w:p>
      <w:pPr>
        <w:numPr>
          <w:ilvl w:val="0"/>
          <w:numId w:val="1003"/>
        </w:numPr>
        <w:pStyle w:val="Compact"/>
      </w:pPr>
      <w:r>
        <w:t xml:space="preserve">National Vision Qatar 2030: Health Sector Strategy.</w:t>
      </w:r>
    </w:p>
    <w:p>
      <w:pPr>
        <w:numPr>
          <w:ilvl w:val="0"/>
          <w:numId w:val="1003"/>
        </w:numPr>
        <w:pStyle w:val="Compact"/>
      </w:pPr>
      <w:r>
        <w:t xml:space="preserve">Journal of Surgical Education, "Impact of High-Fidelity Simulation on Surgeon Performance," Vol. 81, Issue 4.</w:t>
      </w:r>
    </w:p>
    <w:p>
      <w:pPr>
        <w:numPr>
          <w:ilvl w:val="0"/>
          <w:numId w:val="1003"/>
        </w:numPr>
        <w:pStyle w:val="Compact"/>
      </w:pPr>
      <w:r>
        <w:t xml:space="preserve">Sidra Medicine Research Institute Publications on Robotic Surgery Outcomes in the Middle East.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Simulation Lab Report: Advanced Surgical Intervention Protocols in Qatar, Doha</dc:title>
  <dc:creator/>
  <cp:keywords/>
  <dcterms:created xsi:type="dcterms:W3CDTF">2026-07-29T09:27:30Z</dcterms:created>
  <dcterms:modified xsi:type="dcterms:W3CDTF">2026-07-29T09:27:30Z</dcterms:modified>
</cp:coreProperties>
</file>

<file path=docProps/custom.xml><?xml version="1.0" encoding="utf-8"?>
<Properties xmlns="http://schemas.openxmlformats.org/officeDocument/2006/custom-properties" xmlns:vt="http://schemas.openxmlformats.org/officeDocument/2006/docPropsVTypes"/>
</file>