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Competency</w:t>
      </w:r>
      <w:r>
        <w:t xml:space="preserve"> </w:t>
      </w:r>
      <w:r>
        <w:t xml:space="preserve">and</w:t>
      </w:r>
      <w:r>
        <w:t xml:space="preserve"> </w:t>
      </w:r>
      <w:r>
        <w:t xml:space="preserve">Regulatory</w:t>
      </w:r>
      <w:r>
        <w:t xml:space="preserve"> </w:t>
      </w:r>
      <w:r>
        <w:t xml:space="preserve">Compliance</w:t>
      </w:r>
      <w:r>
        <w:t xml:space="preserve"> </w:t>
      </w:r>
      <w:r>
        <w:t xml:space="preserve">for</w:t>
      </w:r>
      <w:r>
        <w:t xml:space="preserve"> </w:t>
      </w:r>
      <w:r>
        <w:t xml:space="preserve">Surgical</w:t>
      </w:r>
      <w:r>
        <w:t xml:space="preserve"> </w:t>
      </w:r>
      <w:r>
        <w:t xml:space="preserve">Practitioners</w:t>
      </w:r>
      <w:r>
        <w:t xml:space="preserve"> </w:t>
      </w:r>
      <w:r>
        <w:t xml:space="preserve">in</w:t>
      </w:r>
      <w:r>
        <w:t xml:space="preserve"> </w:t>
      </w:r>
      <w:r>
        <w:t xml:space="preserve">the</w:t>
      </w:r>
      <w:r>
        <w:t xml:space="preserve"> </w:t>
      </w:r>
      <w:r>
        <w:t xml:space="preserve">Republic</w:t>
      </w:r>
      <w:r>
        <w:t xml:space="preserve"> </w:t>
      </w:r>
      <w:r>
        <w:t xml:space="preserve">of</w:t>
      </w:r>
      <w:r>
        <w:t xml:space="preserve"> </w:t>
      </w:r>
      <w:r>
        <w:t xml:space="preserve">Singapore</w:t>
      </w:r>
    </w:p>
    <w:bookmarkStart w:id="32" w:name="Xd09654431e843d2f93eab7c8d73b8e6655a9875"/>
    <w:p>
      <w:pPr>
        <w:pStyle w:val="Heading1"/>
      </w:pPr>
      <w:r>
        <w:t xml:space="preserve">Laboratory Report on Surgeon Proficiency and Regulatory Standards in Singapore Singapore</w:t>
      </w:r>
    </w:p>
    <w:p>
      <w:pPr>
        <w:pStyle w:val="FirstParagraph"/>
      </w:pPr>
      <w:r>
        <w:t xml:space="preserve">Date: October 26, 2023</w:t>
      </w:r>
      <w:r>
        <w:br/>
      </w:r>
      <w:r>
        <w:t xml:space="preserve">Prepared For: Ministry of Health (MOH), Singapore</w:t>
      </w:r>
      <w:r>
        <w:br/>
      </w:r>
      <w:r>
        <w:t xml:space="preserve">Subject: Comprehensive Analysis of Surgical Practice Standards, Ethical Compliance, and Operational Efficacy within the Healthcare Infrastructure of Singapore Singapore.</w:t>
      </w:r>
    </w:p>
    <w:bookmarkStart w:id="20" w:name="executive-summary"/>
    <w:p>
      <w:pPr>
        <w:pStyle w:val="Heading2"/>
      </w:pPr>
      <w:r>
        <w:t xml:space="preserve">1.0 Executive Summary</w:t>
      </w:r>
    </w:p>
    <w:p>
      <w:pPr>
        <w:pStyle w:val="FirstParagraph"/>
      </w:pPr>
      <w:r>
        <w:t xml:space="preserve">This</w:t>
      </w:r>
      <w:r>
        <w:t xml:space="preserve"> </w:t>
      </w:r>
      <w:r>
        <w:rPr>
          <w:bCs/>
          <w:b/>
        </w:rPr>
        <w:t xml:space="preserve">Laboratory Report</w:t>
      </w:r>
      <w:r>
        <w:t xml:space="preserve"> </w:t>
      </w:r>
      <w:r>
        <w:t xml:space="preserve">serves as a critical evaluation of the current standing regarding surgical personnel qualification, procedural safety protocols, and regulatory adherence within the healthcare landscape of</w:t>
      </w:r>
      <w:r>
        <w:t xml:space="preserve"> </w:t>
      </w:r>
      <w:r>
        <w:rPr>
          <w:bCs/>
          <w:b/>
        </w:rPr>
        <w:t xml:space="preserve">Singapore Singapore</w:t>
      </w:r>
      <w:r>
        <w:t xml:space="preserve">. The primary objective is to delineate the rigorous standards expected of every qualified Surgeon operating within this region. As a global hub for medical excellence, Singapore has established itself as a benchmark for quality care in Southeast Asia. Consequently, this document emphasizes that any deviation from these high standards by a practicing Surgeon is not only clinically risky but also legally untenable under the laws of</w:t>
      </w:r>
      <w:r>
        <w:t xml:space="preserve"> </w:t>
      </w:r>
      <w:r>
        <w:rPr>
          <w:bCs/>
          <w:b/>
        </w:rPr>
        <w:t xml:space="preserve">Singapore Singapore</w:t>
      </w:r>
      <w:r>
        <w:t xml:space="preserve">. The findings herein underscore the necessity of continuous professional development and strict adherence to the Medical Registration Act.</w:t>
      </w:r>
    </w:p>
    <w:bookmarkEnd w:id="20"/>
    <w:bookmarkStart w:id="21" w:name="introduction-and-scope"/>
    <w:p>
      <w:pPr>
        <w:pStyle w:val="Heading2"/>
      </w:pPr>
      <w:r>
        <w:t xml:space="preserve">2.0 Introduction and Scope</w:t>
      </w:r>
    </w:p>
    <w:p>
      <w:pPr>
        <w:pStyle w:val="FirstParagraph"/>
      </w:pPr>
      <w:r>
        <w:t xml:space="preserve">The integration of advanced surgical technology with traditional clinical expertise requires a robust framework for accountability. In this context, a Surgeon is not merely an operator but a steward of patient safety within the intricate ecosystem of</w:t>
      </w:r>
      <w:r>
        <w:t xml:space="preserve"> </w:t>
      </w:r>
      <w:r>
        <w:rPr>
          <w:bCs/>
          <w:b/>
        </w:rPr>
        <w:t xml:space="preserve">Singapore Singapore</w:t>
      </w:r>
      <w:r>
        <w:t xml:space="preserve">. This report analyzes the intersection of technical proficiency, ethical decision-making, and regulatory oversight. The scope includes pre-operative assessments, intra-operative conduct, and post-operative care management. It is imperative to recognize that the term "Singapore Singapore" in this document refers specifically to the jurisdictional boundaries where these regulations apply with absolute force. The distinct geopolitical and administrative status of</w:t>
      </w:r>
      <w:r>
        <w:t xml:space="preserve"> </w:t>
      </w:r>
      <w:r>
        <w:rPr>
          <w:bCs/>
          <w:b/>
        </w:rPr>
        <w:t xml:space="preserve">Singapore Singapore</w:t>
      </w:r>
      <w:r>
        <w:t xml:space="preserve"> </w:t>
      </w:r>
      <w:r>
        <w:t xml:space="preserve">necessitates a unique approach to medical governance, ensuring that every Surgeon operates within a highly monitored and standardized environment.</w:t>
      </w:r>
    </w:p>
    <w:bookmarkEnd w:id="21"/>
    <w:bookmarkStart w:id="22" w:name="Xcf7594a831a81f0e904fc2a3abf5bf19438d59c"/>
    <w:p>
      <w:pPr>
        <w:pStyle w:val="Heading2"/>
      </w:pPr>
      <w:r>
        <w:t xml:space="preserve">3.0 Regulatory Framework in Singapore Singapore</w:t>
      </w:r>
    </w:p>
    <w:p>
      <w:pPr>
        <w:pStyle w:val="FirstParagraph"/>
      </w:pPr>
      <w:r>
        <w:t xml:space="preserve">The practice of surgery in this region is governed by the Medical Registration Act and overseen by the Singhealth Polyclinics Group, private sector regulators, and the Ministry of Health. For any Surgeon aspiring to practice in</w:t>
      </w:r>
      <w:r>
        <w:t xml:space="preserve"> </w:t>
      </w:r>
      <w:r>
        <w:rPr>
          <w:bCs/>
          <w:b/>
        </w:rPr>
        <w:t xml:space="preserve">Singapore Singapore</w:t>
      </w:r>
      <w:r>
        <w:t xml:space="preserve">, obtaining full registration from the Singapore Medical Council (SMC) is mandatory. This report highlights that registration is not a static credential but a dynamic status requiring ongoing compliance.</w:t>
      </w:r>
    </w:p>
    <w:p>
      <w:pPr>
        <w:pStyle w:val="BodyText"/>
      </w:pPr>
      <w:r>
        <w:t xml:space="preserve">Key regulatory pillars include:</w:t>
      </w:r>
    </w:p>
    <w:p>
      <w:pPr>
        <w:numPr>
          <w:ilvl w:val="0"/>
          <w:numId w:val="1001"/>
        </w:numPr>
        <w:pStyle w:val="Compact"/>
      </w:pPr>
      <w:r>
        <w:t xml:space="preserve">Licensure and Certification: Every Surgeon must hold valid credentials recognized by SMC.</w:t>
      </w:r>
    </w:p>
    <w:p>
      <w:pPr>
        <w:numPr>
          <w:ilvl w:val="0"/>
          <w:numId w:val="1002"/>
        </w:numPr>
        <w:pStyle w:val="Compact"/>
      </w:pPr>
      <w:r>
        <w:t xml:space="preserve">Continuous Medical Education (CME): Mandatory points accumulation to maintain active practice rights in</w:t>
      </w:r>
      <w:r>
        <w:t xml:space="preserve"> </w:t>
      </w:r>
      <w:r>
        <w:rPr>
          <w:bCs/>
          <w:b/>
        </w:rPr>
        <w:t xml:space="preserve">Singapore Singapore</w:t>
      </w:r>
      <w:r>
        <w:t xml:space="preserve">.</w:t>
      </w:r>
    </w:p>
    <w:p>
      <w:pPr>
        <w:numPr>
          <w:ilvl w:val="0"/>
          <w:numId w:val="1003"/>
        </w:numPr>
        <w:pStyle w:val="Compact"/>
      </w:pPr>
      <w:r>
        <w:t xml:space="preserve">Clinical Governance: Adherence to clinical guidelines set forth by local hospitals and polyclinics.</w:t>
      </w:r>
    </w:p>
    <w:p>
      <w:pPr>
        <w:pStyle w:val="FirstParagraph"/>
      </w:pPr>
      <w:r>
        <w:t xml:space="preserve">p&gt;The unique administrative structure of</w:t>
      </w:r>
    </w:p>
    <w:p>
      <w:pPr>
        <w:pStyle w:val="BodyText"/>
      </w:pPr>
      <w:r>
        <w:t xml:space="preserve">Singapore Singapore ensures that there is a seamless flow of information regarding patient safety incidents. Therefore, a Surgeon must be transparent about any complications or errors, as concealment leads to immediate suspension of privileges and potential legal action within the jurisdiction.</w:t>
      </w:r>
    </w:p>
    <w:bookmarkEnd w:id="22"/>
    <w:bookmarkStart w:id="26" w:name="X25d8a0069c06c4725c956b1c1e4c043f48b8bd8"/>
    <w:p>
      <w:pPr>
        <w:pStyle w:val="Heading2"/>
      </w:pPr>
      <w:r>
        <w:t xml:space="preserve">4.0 Clinical Competency and Technical Proficiency</w:t>
      </w:r>
    </w:p>
    <w:p>
      <w:pPr>
        <w:pStyle w:val="FirstParagraph"/>
      </w:pPr>
      <w:r>
        <w:t xml:space="preserve">This section of the</w:t>
      </w:r>
      <w:r>
        <w:t xml:space="preserve"> </w:t>
      </w:r>
      <w:r>
        <w:rPr>
          <w:bCs/>
          <w:b/>
        </w:rPr>
        <w:t xml:space="preserve">Laboratory Report</w:t>
      </w:r>
      <w:r>
        <w:t xml:space="preserve"> </w:t>
      </w:r>
      <w:r>
        <w:t xml:space="preserve">evaluates the technical skills required of a Surgeon. The healthcare system in</w:t>
      </w:r>
      <w:r>
        <w:t xml:space="preserve"> </w:t>
      </w:r>
      <w:r>
        <w:rPr>
          <w:bCs/>
          <w:b/>
        </w:rPr>
        <w:t xml:space="preserve">Singapore Singapore</w:t>
      </w:r>
      <w:r>
        <w:t xml:space="preserve"> </w:t>
      </w:r>
      <w:r>
        <w:t xml:space="preserve">demands precision, efficiency, and minimal invasiveness where possible. Modern surgical practices in this region heavily utilize robotic-assisted surgery and advanced laparoscopic techniques.</w:t>
      </w:r>
    </w:p>
    <w:bookmarkStart w:id="23" w:name="pre-operative-assessment"/>
    <w:p>
      <w:pPr>
        <w:pStyle w:val="Heading3"/>
      </w:pPr>
      <w:r>
        <w:t xml:space="preserve">4.1 Pre-Operative Assessment</w:t>
      </w:r>
    </w:p>
    <w:p>
      <w:pPr>
        <w:pStyle w:val="FirstParagraph"/>
      </w:pPr>
      <w:r>
        <w:t xml:space="preserve">A Surgeon must conduct a thorough pre-operative evaluation. This includes reviewing medical history, assessing risk factors specific to the diverse demographic of</w:t>
      </w:r>
      <w:r>
        <w:t xml:space="preserve"> </w:t>
      </w:r>
      <w:r>
        <w:rPr>
          <w:bCs/>
          <w:b/>
        </w:rPr>
        <w:t xml:space="preserve">Singapore Singapore</w:t>
      </w:r>
      <w:r>
        <w:t xml:space="preserve">, and obtaining informed consent. The cultural sensitivity required in</w:t>
      </w:r>
      <w:r>
        <w:t xml:space="preserve"> </w:t>
      </w:r>
      <w:r>
        <w:rPr>
          <w:bCs/>
          <w:b/>
        </w:rPr>
        <w:t xml:space="preserve">Singapore Singapore</w:t>
      </w:r>
      <w:r>
        <w:t xml:space="preserve"> </w:t>
      </w:r>
      <w:r>
        <w:t xml:space="preserve">means that communication with patients from various ethnic backgrounds is crucial for ensuring true informed consent.</w:t>
      </w:r>
    </w:p>
    <w:bookmarkEnd w:id="23"/>
    <w:bookmarkStart w:id="24" w:name="intra-operative-standards"/>
    <w:p>
      <w:pPr>
        <w:pStyle w:val="Heading3"/>
      </w:pPr>
      <w:r>
        <w:t xml:space="preserve">4.2 Intra-Operative Standards</w:t>
      </w:r>
    </w:p>
    <w:p>
      <w:pPr>
        <w:pStyle w:val="FirstParagraph"/>
      </w:pPr>
      <w:r>
        <w:t xml:space="preserve">During surgery, the Surgeon must adhere to strict sterile techniques and safety checklists. The "Time-Out" procedure is non-negotiable in all hospitals across</w:t>
      </w:r>
      <w:r>
        <w:t xml:space="preserve"> </w:t>
      </w:r>
      <w:r>
        <w:rPr>
          <w:bCs/>
          <w:b/>
        </w:rPr>
        <w:t xml:space="preserve">Singapore Singapore</w:t>
      </w:r>
      <w:r>
        <w:t xml:space="preserve">. This report notes that deviations from standard protocols during operation are considered gross negligence if they result in patient harm.</w:t>
      </w:r>
    </w:p>
    <w:bookmarkEnd w:id="24"/>
    <w:bookmarkStart w:id="25" w:name="post-operative-care"/>
    <w:p>
      <w:pPr>
        <w:pStyle w:val="Heading3"/>
      </w:pPr>
      <w:r>
        <w:t xml:space="preserve">4.3 Post-Operative Care</w:t>
      </w:r>
    </w:p>
    <w:p>
      <w:pPr>
        <w:pStyle w:val="FirstParagraph"/>
      </w:pPr>
      <w:r>
        <w:t xml:space="preserve">Recovery management is critical. A Surgeon must monitor for signs of infection, thrombosis, or other complications. The healthcare infrastructure in</w:t>
      </w:r>
      <w:r>
        <w:t xml:space="preserve"> </w:t>
      </w:r>
      <w:r>
        <w:rPr>
          <w:bCs/>
          <w:b/>
        </w:rPr>
        <w:t xml:space="preserve">Singapore Singapore</w:t>
      </w:r>
      <w:r>
        <w:t xml:space="preserve"> </w:t>
      </w:r>
      <w:r>
        <w:t xml:space="preserve">supports rapid response teams; however, the responsibility remains with the operating Surgeon to ensure continuity of care.</w:t>
      </w:r>
    </w:p>
    <w:bookmarkEnd w:id="25"/>
    <w:bookmarkEnd w:id="26"/>
    <w:bookmarkStart w:id="27" w:name="Xcec0cdfbf541da75d39637666249479350353d9"/>
    <w:p>
      <w:pPr>
        <w:pStyle w:val="Heading2"/>
      </w:pPr>
      <w:r>
        <w:t xml:space="preserve">5.0 Ethical Considerations and Professional Conduct</w:t>
      </w:r>
    </w:p>
    <w:p>
      <w:pPr>
        <w:pStyle w:val="FirstParagraph"/>
      </w:pPr>
      <w:r>
        <w:t xml:space="preserve">Ethics play a pivotal role in the practice of surgery. The SMC’s Ethical Code and Professional Conduct applies to every Surgeon practicing in</w:t>
      </w:r>
      <w:r>
        <w:t xml:space="preserve"> </w:t>
      </w:r>
      <w:r>
        <w:rPr>
          <w:bCs/>
          <w:b/>
        </w:rPr>
        <w:t xml:space="preserve">Singapore Singapore</w:t>
      </w:r>
      <w:r>
        <w:t xml:space="preserve">. Conflicts of interest, particularly regarding referrals or procurement of medical devices, are strictly prohibited. This</w:t>
      </w:r>
      <w:r>
        <w:t xml:space="preserve"> </w:t>
      </w:r>
      <w:r>
        <w:rPr>
          <w:bCs/>
          <w:b/>
        </w:rPr>
        <w:t xml:space="preserve">Laboratory Report</w:t>
      </w:r>
      <w:r>
        <w:t xml:space="preserve"> </w:t>
      </w:r>
      <w:r>
        <w:t xml:space="preserve">emphasizes that integrity is as vital as skill. A Surgeon who compromises ethical standards undermines the trust placed in the healthcare system of</w:t>
      </w:r>
      <w:r>
        <w:t xml:space="preserve"> </w:t>
      </w:r>
      <w:r>
        <w:rPr>
          <w:bCs/>
          <w:b/>
        </w:rPr>
        <w:t xml:space="preserve">Singapore Singapore</w:t>
      </w:r>
      <w:r>
        <w:t xml:space="preserve">.</w:t>
      </w:r>
    </w:p>
    <w:bookmarkEnd w:id="27"/>
    <w:bookmarkStart w:id="28" w:name="data-analysis-and-safety-metrics"/>
    <w:p>
      <w:pPr>
        <w:pStyle w:val="Heading2"/>
      </w:pPr>
      <w:r>
        <w:t xml:space="preserve">6.0 Data Analysis and Safety Metrics</w:t>
      </w:r>
    </w:p>
    <w:p>
      <w:pPr>
        <w:pStyle w:val="FirstParagraph"/>
      </w:pPr>
      <w:r>
        <w:t xml:space="preserve">An analysis of surgical outcomes in</w:t>
      </w:r>
      <w:r>
        <w:t xml:space="preserve"> </w:t>
      </w:r>
      <w:r>
        <w:rPr>
          <w:bCs/>
          <w:b/>
        </w:rPr>
        <w:t xml:space="preserve">Singapore Singapore</w:t>
      </w:r>
      <w:r>
        <w:t xml:space="preserve"> </w:t>
      </w:r>
      <w:r>
        <w:t xml:space="preserve">reveals generally high success rates compared to global averages. However, specific areas require attention:</w:t>
      </w:r>
    </w:p>
    <w:p>
      <w:pPr>
        <w:numPr>
          <w:ilvl w:val="0"/>
          <w:numId w:val="1004"/>
        </w:numPr>
        <w:pStyle w:val="Compact"/>
      </w:pPr>
      <w:r>
        <w:t xml:space="preserve">Infection Rates: Monitoring of post-surgical site infections is ongoing.</w:t>
      </w:r>
    </w:p>
    <w:p>
      <w:pPr>
        <w:numPr>
          <w:ilvl w:val="0"/>
          <w:numId w:val="1005"/>
        </w:numPr>
        <w:pStyle w:val="Compact"/>
      </w:pPr>
      <w:r>
        <w:t xml:space="preserve">Patient Mortality: Case mix adjusted mortality rates are reviewed quarterly for all Surgeons.</w:t>
      </w:r>
    </w:p>
    <w:p>
      <w:pPr>
        <w:pStyle w:val="FirstParagraph"/>
      </w:pPr>
      <w:r>
        <w:t xml:space="preserve">p&gt;The data indicates that institutions with rigorous audit trails show better outcomes. Therefore, every Surgeon must contribute to these audits. The transparency required in</w:t>
      </w:r>
      <w:r>
        <w:t xml:space="preserve"> </w:t>
      </w:r>
      <w:r>
        <w:rPr>
          <w:bCs/>
          <w:b/>
        </w:rPr>
        <w:t xml:space="preserve">Singapore Singapore</w:t>
      </w:r>
      <w:r>
        <w:t xml:space="preserve"> </w:t>
      </w:r>
      <w:r>
        <w:t xml:space="preserve">fosters a culture of learning rather than blaming, provided that the Surgeon acts honestly and promptly.</w:t>
      </w:r>
    </w:p>
    <w:bookmarkEnd w:id="28"/>
    <w:bookmarkStart w:id="29" w:name="challenges-and-future-directions"/>
    <w:p>
      <w:pPr>
        <w:pStyle w:val="Heading2"/>
      </w:pPr>
      <w:r>
        <w:t xml:space="preserve">7.0 Challenges and Future Directions</w:t>
      </w:r>
    </w:p>
    <w:p>
      <w:pPr>
        <w:pStyle w:val="FirstParagraph"/>
      </w:pPr>
      <w:r>
        <w:t xml:space="preserve">The healthcare landscape in</w:t>
      </w:r>
      <w:r>
        <w:t xml:space="preserve"> </w:t>
      </w:r>
      <w:r>
        <w:rPr>
          <w:bCs/>
          <w:b/>
        </w:rPr>
        <w:t xml:space="preserve">Singapore Singapore</w:t>
      </w:r>
      <w:r>
        <w:t xml:space="preserve"> </w:t>
      </w:r>
      <w:r>
        <w:t xml:space="preserve">is evolving with an aging population and increased prevalence of chronic diseases. Surgeons must adapt to more complex cases involving comorbidities. Additionally, the integration of AI in diagnostics requires Surgeons to enhance their digital literacy.</w:t>
      </w:r>
    </w:p>
    <w:p>
      <w:pPr>
        <w:pStyle w:val="BodyText"/>
      </w:pPr>
      <w:r>
        <w:t xml:space="preserve">This</w:t>
      </w:r>
      <w:r>
        <w:t xml:space="preserve"> </w:t>
      </w:r>
      <w:r>
        <w:rPr>
          <w:bCs/>
          <w:b/>
        </w:rPr>
        <w:t xml:space="preserve">Laboratory Report</w:t>
      </w:r>
      <w:r>
        <w:t xml:space="preserve"> </w:t>
      </w:r>
      <w:r>
        <w:t xml:space="preserve">recommends that educational programs for Surgeons in</w:t>
      </w:r>
      <w:r>
        <w:t xml:space="preserve"> </w:t>
      </w:r>
      <w:r>
        <w:rPr>
          <w:bCs/>
          <w:b/>
        </w:rPr>
        <w:t xml:space="preserve">Singapore Singapore</w:t>
      </w:r>
      <w:r>
        <w:t xml:space="preserve"> </w:t>
      </w:r>
      <w:r>
        <w:t xml:space="preserve">focus more on interdisciplinary collaboration and advanced technological adaptation. The goal is to maintain the reputation of Singapore as a premier medical destination while ensuring equitable access to high-quality surgical care.</w:t>
      </w:r>
    </w:p>
    <w:bookmarkEnd w:id="29"/>
    <w:bookmarkStart w:id="30" w:name="conclusion"/>
    <w:p>
      <w:pPr>
        <w:pStyle w:val="Heading2"/>
      </w:pPr>
      <w:r>
        <w:t xml:space="preserve">8.0 Conclusion</w:t>
      </w:r>
    </w:p>
    <w:p>
      <w:pPr>
        <w:pStyle w:val="FirstParagraph"/>
      </w:pPr>
      <w:r>
        <w:t xml:space="preserve">In conclusion, this</w:t>
      </w:r>
      <w:r>
        <w:t xml:space="preserve"> </w:t>
      </w:r>
      <w:r>
        <w:rPr>
          <w:bCs/>
          <w:b/>
        </w:rPr>
        <w:t xml:space="preserve">Laboratory Report</w:t>
      </w:r>
      <w:r>
        <w:t xml:space="preserve"> </w:t>
      </w:r>
      <w:r>
        <w:t xml:space="preserve">affirms that the role of a Surgeon in</w:t>
      </w:r>
      <w:r>
        <w:t xml:space="preserve"> </w:t>
      </w:r>
      <w:r>
        <w:rPr>
          <w:bCs/>
          <w:b/>
        </w:rPr>
        <w:t xml:space="preserve">Singapore Singapore</w:t>
      </w:r>
      <w:r>
        <w:t xml:space="preserve"> </w:t>
      </w:r>
      <w:r>
        <w:t xml:space="preserve">is multifaceted, requiring technical excellence, ethical integrity, and strict regulatory compliance. The unique context of operating within</w:t>
      </w:r>
      <w:r>
        <w:t xml:space="preserve"> </w:t>
      </w:r>
      <w:r>
        <w:rPr>
          <w:bCs/>
          <w:b/>
        </w:rPr>
        <w:t xml:space="preserve">Singapore Singapore</w:t>
      </w:r>
      <w:r>
        <w:t xml:space="preserve"> </w:t>
      </w:r>
      <w:r>
        <w:t xml:space="preserve">demands a high level of accountability. Patients entrust their lives to these professionals with the expectation that the highest standards are met. It is the responsibility of all stakeholders—including hospitals, regulators, and individual Surgeons—to uphold these standards continuously.</w:t>
      </w:r>
    </w:p>
    <w:p>
      <w:pPr>
        <w:pStyle w:val="BodyText"/>
      </w:pPr>
      <w:r>
        <w:t xml:space="preserve">The findings suggest that while the current system is robust, vigilance must remain high. Any lapse in judgment or procedure by a Surgeon can have severe repercussions for patient safety and institutional reputation within</w:t>
      </w:r>
      <w:r>
        <w:t xml:space="preserve"> </w:t>
      </w:r>
      <w:r>
        <w:rPr>
          <w:bCs/>
          <w:b/>
        </w:rPr>
        <w:t xml:space="preserve">Singapore Singapore</w:t>
      </w:r>
      <w:r>
        <w:t xml:space="preserve">. Therefore, ongoing education, peer review, and adherence to the laws governing medical practice are essential. This document serves as a reminder that in the dynamic healthcare environment of</w:t>
      </w:r>
      <w:r>
        <w:t xml:space="preserve"> </w:t>
      </w:r>
      <w:r>
        <w:rPr>
          <w:bCs/>
          <w:b/>
        </w:rPr>
        <w:t xml:space="preserve">Singapore Singapore</w:t>
      </w:r>
      <w:r>
        <w:t xml:space="preserve">, excellence is not just an aspiration but a mandatory standard for every Surgeon.</w:t>
      </w:r>
    </w:p>
    <w:bookmarkEnd w:id="30"/>
    <w:bookmarkStart w:id="31" w:name="references"/>
    <w:p>
      <w:pPr>
        <w:pStyle w:val="Heading2"/>
      </w:pPr>
      <w:r>
        <w:t xml:space="preserve">9.0 References</w:t>
      </w:r>
    </w:p>
    <w:p>
      <w:pPr>
        <w:numPr>
          <w:ilvl w:val="0"/>
          <w:numId w:val="1006"/>
        </w:numPr>
        <w:pStyle w:val="Compact"/>
      </w:pPr>
      <w:r>
        <w:t xml:space="preserve">Singapore Medical Council (SMC) Ethical Code and Professional Conduct.</w:t>
      </w:r>
    </w:p>
    <w:p>
      <w:pPr>
        <w:numPr>
          <w:ilvl w:val="0"/>
          <w:numId w:val="1007"/>
        </w:numPr>
        <w:pStyle w:val="Compact"/>
      </w:pPr>
      <w:r>
        <w:t xml:space="preserve">Ministry of Health Singapore: Annual Report on Healthcare Quality Indicators.</w:t>
      </w:r>
    </w:p>
    <w:p>
      <w:pPr>
        <w:pStyle w:val="FirstParagraph"/>
      </w:pPr>
      <w:r>
        <w:t xml:space="preserve">National University Hospital Clinical Governance Frameworks.</w:t>
      </w:r>
    </w:p>
    <w:p>
      <w:pPr>
        <w:pStyle w:val="BodyText"/>
      </w:pPr>
      <w:r>
        <w:t xml:space="preserve">This report is concluded with the understanding that the principles outlined herein are binding for all medical practitioners operating within the jurisdiction of</w:t>
      </w:r>
      <w:r>
        <w:t xml:space="preserve"> </w:t>
      </w:r>
      <w:r>
        <w:rPr>
          <w:bCs/>
          <w:b/>
        </w:rPr>
        <w:t xml:space="preserve">Singapore Singapore</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Competency and Regulatory Compliance for Surgical Practitioners in the Republic of Singapore</dc:title>
  <dc:creator/>
  <dc:language>en</dc:language>
  <cp:keywords/>
  <dcterms:created xsi:type="dcterms:W3CDTF">2026-07-29T06:58:55Z</dcterms:created>
  <dcterms:modified xsi:type="dcterms:W3CDTF">2026-07-29T06:58:55Z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