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Evaluation</w:t>
      </w:r>
      <w:r>
        <w:t xml:space="preserve"> </w:t>
      </w:r>
      <w:r>
        <w:t xml:space="preserve">Report:</w:t>
      </w:r>
      <w:r>
        <w:t xml:space="preserve"> </w:t>
      </w:r>
      <w:r>
        <w:t xml:space="preserve">Surgical</w:t>
      </w:r>
      <w:r>
        <w:t xml:space="preserve"> </w:t>
      </w:r>
      <w:r>
        <w:t xml:space="preserve">Intervention</w:t>
      </w:r>
      <w:r>
        <w:t xml:space="preserve"> </w:t>
      </w:r>
      <w:r>
        <w:t xml:space="preserve">Protocol</w:t>
      </w:r>
      <w:r>
        <w:t xml:space="preserve"> </w:t>
      </w:r>
      <w:r>
        <w:t xml:space="preserve">Assessment</w:t>
      </w:r>
    </w:p>
    <w:p>
      <w:pPr>
        <w:pStyle w:val="FirstParagraph"/>
      </w:pPr>
      <w:r>
        <w:rPr>
          <w:bCs/>
          <w:b/>
        </w:rPr>
        <w:t xml:space="preserve">Patient ID:</w:t>
      </w:r>
      <w:r>
        <w:t xml:space="preserve"> </w:t>
      </w:r>
      <w:r>
        <w:t xml:space="preserve">TX-HOU-2023-X99</w:t>
      </w:r>
    </w:p>
    <w:p>
      <w:pPr>
        <w:pStyle w:val="BodyText"/>
      </w:pPr>
      <w:r>
        <w:rPr>
          <w:bCs/>
          <w:b/>
        </w:rPr>
        <w:t xml:space="preserve">Date of Procedure:</w:t>
      </w:r>
      <w:r>
        <w:t xml:space="preserve"> </w:t>
      </w:r>
      <w:r>
        <w:t xml:space="preserve">October 14, 2023</w:t>
      </w:r>
    </w:p>
    <w:bookmarkStart w:id="29" w:name="Xaa10f270a4cd13e00bb9509abecbb591796bd97"/>
    <w:p>
      <w:pPr>
        <w:pStyle w:val="Heading1"/>
      </w:pPr>
      <w:r>
        <w:t xml:space="preserve">Clinical Lab Report: Pre-Operative Surgical Assessment and Pathological Analysis</w:t>
      </w:r>
    </w:p>
    <w:p>
      <w:pPr>
        <w:pStyle w:val="FirstParagraph"/>
      </w:pPr>
      <w:r>
        <w:rPr>
          <w:bCs/>
          <w:b/>
        </w:rPr>
        <w:t xml:space="preserve">Institution:</w:t>
      </w:r>
      <w:r>
        <w:t xml:space="preserve"> </w:t>
      </w:r>
      <w:r>
        <w:t xml:space="preserve">Memorial Hermann-Texas Medical Center</w:t>
      </w:r>
      <w:r>
        <w:br/>
      </w:r>
      <w:r>
        <w:rPr>
          <w:bCs/>
          <w:b/>
        </w:rPr>
        <w:t xml:space="preserve">Facility Location:</w:t>
      </w:r>
      <w:r>
        <w:t xml:space="preserve"> </w:t>
      </w:r>
      <w:r>
        <w:t xml:space="preserve">United States, Houston, Texas</w:t>
      </w:r>
      <w:r>
        <w:br/>
      </w:r>
      <w:r>
        <w:rPr>
          <w:bCs/>
          <w:b/>
        </w:rPr>
        <w:t xml:space="preserve">Mailing Address for Records:</w:t>
      </w:r>
      <w:r>
        <w:t xml:space="preserve"> </w:t>
      </w:r>
      <w:r>
        <w:t xml:space="preserve">6411 Fannin Street, Houston, TX 77030</w:t>
      </w:r>
    </w:p>
    <w:bookmarkStart w:id="20" w:name="Xcf6c07ed47c5facda88c207e535f665e98ca0f0"/>
    <w:p>
      <w:pPr>
        <w:pStyle w:val="Heading2"/>
      </w:pPr>
      <w:r>
        <w:t xml:space="preserve">I. Executive Summary and Contextual Framework</w:t>
      </w:r>
    </w:p>
    <w:p>
      <w:pPr>
        <w:pStyle w:val="FirstParagraph"/>
      </w:pPr>
      <w:r>
        <w:t xml:space="preserve">This comprehensive laboratory report details the clinical evaluation, diagnostic imaging analysis, and pathological findings associated with a complex surgical intervention. The primary objective of this documentation is to provide a thorough overview of the patient's condition prior to surgical incision, ensuring that all stakeholders—including the attending</w:t>
      </w:r>
      <w:r>
        <w:t xml:space="preserve"> </w:t>
      </w:r>
      <w:r>
        <w:rPr>
          <w:bCs/>
          <w:b/>
        </w:rPr>
        <w:t xml:space="preserve">Surgeon</w:t>
      </w:r>
      <w:r>
        <w:t xml:space="preserve">, anesthesiology teams, nursing staff, and post-operative care units—possess accurate and timely information regarding the physiological status of the patient. Given that this procedure takes place within a major metropolitan medical hub in the</w:t>
      </w:r>
      <w:r>
        <w:t xml:space="preserve"> </w:t>
      </w:r>
      <w:r>
        <w:rPr>
          <w:bCs/>
          <w:b/>
        </w:rPr>
        <w:t xml:space="preserve">United States</w:t>
      </w:r>
      <w:r>
        <w:t xml:space="preserve">, specifically within the bustling healthcare ecosystem of</w:t>
      </w:r>
      <w:r>
        <w:t xml:space="preserve"> </w:t>
      </w:r>
      <w:r>
        <w:rPr>
          <w:bCs/>
          <w:b/>
        </w:rPr>
        <w:t xml:space="preserve">Houston</w:t>
      </w:r>
      <w:r>
        <w:t xml:space="preserve">, strict adherence to federal safety protocols, state-specific medical regulations, and institutional best practices is paramount.</w:t>
      </w:r>
    </w:p>
    <w:p>
      <w:pPr>
        <w:pStyle w:val="BodyText"/>
      </w:pPr>
      <w:r>
        <w:t xml:space="preserve">The city of Houston represents one of the most significant centers for medical innovation and tertiary care in North America. As such, the standards expected in this facility are exceptionally high. The integration of advanced diagnostic technologies with meticulous clinical judgment defines the approach taken by our multidisciplinary team. This report serves not only as a record of findings but as a critical component of the surgical planning phase, ensuring that every variable has been accounted for before the</w:t>
      </w:r>
      <w:r>
        <w:t xml:space="preserve"> </w:t>
      </w:r>
      <w:r>
        <w:rPr>
          <w:bCs/>
          <w:b/>
        </w:rPr>
        <w:t xml:space="preserve">Surgeon</w:t>
      </w:r>
      <w:r>
        <w:t xml:space="preserve"> </w:t>
      </w:r>
      <w:r>
        <w:t xml:space="preserve">enters the operating theater.</w:t>
      </w:r>
    </w:p>
    <w:bookmarkEnd w:id="20"/>
    <w:bookmarkStart w:id="21" w:name="X22392fea353cb8384841ccaa8441492d04ea917"/>
    <w:p>
      <w:pPr>
        <w:pStyle w:val="Heading2"/>
      </w:pPr>
      <w:r>
        <w:t xml:space="preserve">II. Patient History and Clinical Presentation</w:t>
      </w:r>
    </w:p>
    <w:p>
      <w:pPr>
        <w:pStyle w:val="FirstParagraph"/>
      </w:pPr>
      <w:r>
        <w:t xml:space="preserve">The patient, identified herein by anonymous code for privacy compliance under HIPAA regulations applicable in the United States, presented with acute abdominal pain localized to the right lower quadrant. The onset of symptoms was gradual over a period of forty-eight hours, accompanied by low-grade fever and nausea. Upon admission to the emergency department in Houston, initial vital signs indicated mild tachycardia and elevated blood pressure, likely secondary to pain response.</w:t>
      </w:r>
    </w:p>
    <w:p>
      <w:pPr>
        <w:pStyle w:val="BodyText"/>
      </w:pPr>
      <w:r>
        <w:t xml:space="preserve">A thorough review of the patient’s medical history revealed no significant prior surgeries or chronic conditions that would contraindicate standard surgical protocols. However, a family history of gastrointestinal disorders was noted, prompting a more aggressive diagnostic workup. The primary attending physician recommended an immediate consultation with General Surgery to rule out appendicitis or other acute abdominal pathologies. This referral marks the beginning of our engagement with the specialized</w:t>
      </w:r>
      <w:r>
        <w:t xml:space="preserve"> </w:t>
      </w:r>
      <w:r>
        <w:rPr>
          <w:bCs/>
          <w:b/>
        </w:rPr>
        <w:t xml:space="preserve">Surgeon</w:t>
      </w:r>
      <w:r>
        <w:t xml:space="preserve"> </w:t>
      </w:r>
      <w:r>
        <w:t xml:space="preserve">team assigned to this case.</w:t>
      </w:r>
    </w:p>
    <w:bookmarkEnd w:id="21"/>
    <w:bookmarkStart w:id="25" w:name="iii.-diagnostic-laboratory-results"/>
    <w:p>
      <w:pPr>
        <w:pStyle w:val="Heading2"/>
      </w:pPr>
      <w:r>
        <w:t xml:space="preserve">III. Diagnostic Laboratory Results</w:t>
      </w:r>
    </w:p>
    <w:p>
      <w:pPr>
        <w:pStyle w:val="FirstParagraph"/>
      </w:pPr>
      <w:r>
        <w:t xml:space="preserve">To support the clinical suspicion of an acute inflammatory process, a comprehensive panel of laboratory tests was ordered. The results from these studies provide objective data that guides the decision-making process for the operating room schedule.</w:t>
      </w:r>
    </w:p>
    <w:bookmarkStart w:id="22" w:name="a.-complete-blood-count-cbc"/>
    <w:p>
      <w:pPr>
        <w:pStyle w:val="Heading3"/>
      </w:pPr>
      <w:r>
        <w:t xml:space="preserve">A. Complete Blood Count (CBC)</w:t>
      </w:r>
    </w:p>
    <w:p>
      <w:pPr>
        <w:pStyle w:val="FirstParagraph"/>
      </w:pPr>
      <w:r>
        <w:t xml:space="preserve">The white blood cell count was significantly elevated at 16,500/mm³, with a left shift indicating the presence of immature neutrophils. This leukocytosis is a classic indicator of acute bacterial infection or inflammation. Hemoglobin levels remained within normal limits at 14.2 g/dL, suggesting no acute blood loss or chronic anemia that might complicate anesthesia induction.</w:t>
      </w:r>
    </w:p>
    <w:bookmarkEnd w:id="22"/>
    <w:bookmarkStart w:id="23" w:name="b.-comprehensive-metabolic-panel-cmp"/>
    <w:p>
      <w:pPr>
        <w:pStyle w:val="Heading3"/>
      </w:pPr>
      <w:r>
        <w:t xml:space="preserve">B. Comprehensive Metabolic Panel (CMP)</w:t>
      </w:r>
    </w:p>
    <w:p>
      <w:pPr>
        <w:pStyle w:val="FirstParagraph"/>
      </w:pPr>
      <w:r>
        <w:t xml:space="preserve">The electrolyte balance was largely preserved, though mild dehydration was suggested by slightly elevated BUN and creatinine ratios. Liver function tests were normal, ruling out hepatic causes for the abdominal distress. Blood glucose levels were within expected ranges, which is crucial for optimal wound healing post-procedure.</w:t>
      </w:r>
    </w:p>
    <w:bookmarkEnd w:id="23"/>
    <w:bookmarkStart w:id="24" w:name="c.-inflammatory-markers"/>
    <w:p>
      <w:pPr>
        <w:pStyle w:val="Heading3"/>
      </w:pPr>
      <w:r>
        <w:t xml:space="preserve">C. Inflammatory Markers</w:t>
      </w:r>
    </w:p>
    <w:p>
      <w:pPr>
        <w:pStyle w:val="FirstParagraph"/>
      </w:pPr>
      <w:r>
        <w:t xml:space="preserve">The C-Reactive Protein (CRP) level was markedly elevated at 45 mg/L, further corroborating the presence of an active inflammatory process. Erythrocyte Sedimentation Rate (ESR) was also raised, consistent with the clinical picture.</w:t>
      </w:r>
    </w:p>
    <w:bookmarkEnd w:id="24"/>
    <w:bookmarkEnd w:id="25"/>
    <w:bookmarkStart w:id="26" w:name="iv.-imaging-and-radiological-findings"/>
    <w:p>
      <w:pPr>
        <w:pStyle w:val="Heading2"/>
      </w:pPr>
      <w:r>
        <w:t xml:space="preserve">IV. Imaging and Radiological Findings</w:t>
      </w:r>
    </w:p>
    <w:p>
      <w:pPr>
        <w:pStyle w:val="FirstParagraph"/>
      </w:pPr>
      <w:r>
        <w:t xml:space="preserve">In conjunction with the laboratory data, computed tomography (CT) scans of the abdomen and pelvis were performed using contrast-enhanced protocols standard in major U.S. medical centers like those in Houston. The imaging revealed a dilated appendix measuring 10mm in diameter with surrounding fat stranding and periappendiceal fluid collection. No evidence of abscess formation or perforation was observed, which is a favorable finding for surgical repair.</w:t>
      </w:r>
    </w:p>
    <w:bookmarkEnd w:id="26"/>
    <w:bookmarkStart w:id="27" w:name="v.-surgical-planning-and-risk-assessment"/>
    <w:p>
      <w:pPr>
        <w:pStyle w:val="Heading2"/>
      </w:pPr>
      <w:r>
        <w:t xml:space="preserve">V. Surgical Planning and Risk Assessment</w:t>
      </w:r>
    </w:p>
    <w:p>
      <w:pPr>
        <w:pStyle w:val="FirstParagraph"/>
      </w:pPr>
      <w:r>
        <w:t xml:space="preserve">Based on the convergence of clinical symptoms, laboratory markers, and radiological evidence, the attending</w:t>
      </w:r>
      <w:r>
        <w:t xml:space="preserve"> </w:t>
      </w:r>
      <w:r>
        <w:rPr>
          <w:bCs/>
          <w:b/>
        </w:rPr>
        <w:t xml:space="preserve">Surgeon</w:t>
      </w:r>
      <w:r>
        <w:t xml:space="preserve">[Note: Red text indicates placeholder or emphasis in draft]</w:t>
      </w:r>
      <w:r>
        <w:t xml:space="preserve"> </w:t>
      </w:r>
      <w:r>
        <w:t xml:space="preserve">has recommended an urgent laparoscopic appendectomy. This minimally invasive approach is preferred due to its associated benefits of reduced post-operative pain, shorter hospital stays, and faster return to normal activities compared to open surgery.</w:t>
      </w:r>
    </w:p>
    <w:p>
      <w:pPr>
        <w:pStyle w:val="BodyText"/>
      </w:pPr>
      <w:r>
        <w:t xml:space="preserve">The risk assessment has been completed using the ASA (American Society of Anesthesiologists) Physical Status Classification System. The patient is classified as ASA II, indicating a mild systemic disease with no substantial functional limitations. This low-risk profile allows for standard laparoscopic protocols. However, due to the potential for conversion to open surgery if anatomical difficulties arise, the</w:t>
      </w:r>
      <w:r>
        <w:t xml:space="preserve"> </w:t>
      </w:r>
      <w:r>
        <w:rPr>
          <w:bCs/>
          <w:b/>
        </w:rPr>
        <w:t xml:space="preserve">Surgeon</w:t>
      </w:r>
      <w:r>
        <w:t xml:space="preserve"> </w:t>
      </w:r>
      <w:r>
        <w:t xml:space="preserve">has ensured that all necessary equipment and backup personnel are available.</w:t>
      </w:r>
    </w:p>
    <w:bookmarkEnd w:id="27"/>
    <w:bookmarkStart w:id="28" w:name="vi.-conclusion-and-recommendations"/>
    <w:p>
      <w:pPr>
        <w:pStyle w:val="Heading2"/>
      </w:pPr>
      <w:r>
        <w:t xml:space="preserve">VI. Conclusion and Recommendations</w:t>
      </w:r>
    </w:p>
    <w:p>
      <w:pPr>
        <w:pStyle w:val="FirstParagraph"/>
      </w:pPr>
      <w:r>
        <w:t xml:space="preserve">This lab report confirms the diagnosis of acute appendicitis with high clinical certainty. The laboratory values support an urgent need for intervention to prevent progression to perforation or peritonitis. The surgical team in Houston is fully prepared to proceed with the planned laparoscopic procedure.</w:t>
      </w:r>
    </w:p>
    <w:p>
      <w:pPr>
        <w:pStyle w:val="BodyText"/>
      </w:pPr>
      <w:r>
        <w:t xml:space="preserve">It is imperative that post-operative care follows a standardized protocol monitored by nursing staff and reviewed regularly by the</w:t>
      </w:r>
      <w:r>
        <w:t xml:space="preserve"> </w:t>
      </w:r>
      <w:r>
        <w:rPr>
          <w:bCs/>
          <w:b/>
        </w:rPr>
        <w:t xml:space="preserve">Surgeon</w:t>
      </w:r>
      <w:r>
        <w:t xml:space="preserve">. Discharge criteria will include the return of bowel function, adequate pain control via oral medications, and absence of fever. Patients are advised to follow up with their primary care provider within two weeks for wound inspection.</w:t>
      </w:r>
    </w:p>
    <w:p>
      <w:pPr>
        <w:pStyle w:val="BodyText"/>
      </w:pPr>
      <w:r>
        <w:t xml:space="preserve">This document serves as a permanent record of the diagnostic journey and clinical decision-making process. By maintaining rigorous documentation standards, we uphold the reputation of excellence associated with medical institutions in the</w:t>
      </w:r>
      <w:r>
        <w:t xml:space="preserve"> </w:t>
      </w:r>
      <w:r>
        <w:rPr>
          <w:bCs/>
          <w:b/>
        </w:rPr>
        <w:t xml:space="preserve">United States</w:t>
      </w:r>
      <w:r>
        <w:t xml:space="preserve">, specifically reflecting the high-quality care available in</w:t>
      </w:r>
      <w:r>
        <w:t xml:space="preserve"> </w:t>
      </w:r>
      <w:r>
        <w:rPr>
          <w:bCs/>
          <w:b/>
        </w:rPr>
        <w:t xml:space="preserve">Houston</w:t>
      </w:r>
      <w:r>
        <w:t xml:space="preserve">. The collaboration between laboratory diagnostics and surgical expertise ensures that patient outcomes remain optimized.</w:t>
      </w:r>
    </w:p>
    <w:p>
      <w:pPr>
        <w:pStyle w:val="BodyText"/>
      </w:pPr>
      <w:r>
        <w:rPr>
          <w:iCs/>
          <w:i/>
        </w:rPr>
        <w:t xml:space="preserve">This is a simulated document for educational and illustrative purposes only. It does not constitute actual medical advice.</w:t>
      </w:r>
    </w:p>
    <w:p>
      <w:pPr>
        <w:pStyle w:val="BodyText"/>
      </w:pPr>
      <w:r>
        <w:t xml:space="preserve">© 2023 Clinical Documentation Systems.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Evaluation Report: Surgical Intervention Protocol Assessment</dc:title>
  <dc:creator/>
  <cp:keywords/>
  <dcterms:created xsi:type="dcterms:W3CDTF">2026-07-30T03:56:02Z</dcterms:created>
  <dcterms:modified xsi:type="dcterms:W3CDTF">2026-07-30T03:56:02Z</dcterms:modified>
</cp:coreProperties>
</file>

<file path=docProps/custom.xml><?xml version="1.0" encoding="utf-8"?>
<Properties xmlns="http://schemas.openxmlformats.org/officeDocument/2006/custom-properties" xmlns:vt="http://schemas.openxmlformats.org/officeDocument/2006/docPropsVTypes"/>
</file>