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Operative</w:t>
      </w:r>
      <w:r>
        <w:t xml:space="preserve"> </w:t>
      </w:r>
      <w:r>
        <w:t xml:space="preserve">Lab</w:t>
      </w:r>
      <w:r>
        <w:t xml:space="preserve"> </w:t>
      </w:r>
      <w:r>
        <w:t xml:space="preserve">Report:</w:t>
      </w:r>
      <w:r>
        <w:t xml:space="preserve"> </w:t>
      </w:r>
      <w:r>
        <w:t xml:space="preserve">Surgical</w:t>
      </w:r>
      <w:r>
        <w:t xml:space="preserve"> </w:t>
      </w:r>
      <w:r>
        <w:t xml:space="preserve">Intervention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laboratory-and-operative-report"/>
    <w:p>
      <w:pPr>
        <w:pStyle w:val="Heading1"/>
      </w:pPr>
      <w:r>
        <w:t xml:space="preserve">Laboratory and Operative Report</w:t>
      </w:r>
    </w:p>
    <w:p>
      <w:pPr>
        <w:pStyle w:val="FirstParagraph"/>
      </w:pPr>
      <w:r>
        <w:rPr>
          <w:bCs/>
          <w:b/>
        </w:rPr>
        <w:t xml:space="preserve">Patient Name:</w:t>
      </w:r>
      <w:r>
        <w:t xml:space="preserve"> </w:t>
      </w:r>
      <w:r>
        <w:t xml:space="preserve">John Doe    </w:t>
      </w:r>
      <w:r>
        <w:t xml:space="preserve"> </w:t>
      </w:r>
      <w:r>
        <w:rPr>
          <w:bCs/>
          <w:b/>
        </w:rPr>
        <w:t xml:space="preserve">MRN:</w:t>
      </w:r>
      <w:r>
        <w:t xml:space="preserve"> </w:t>
      </w:r>
      <w:r>
        <w:t xml:space="preserve">849201-CA</w:t>
      </w:r>
    </w:p>
    <w:p>
      <w:pPr>
        <w:pStyle w:val="BodyText"/>
      </w:pPr>
      <w:r>
        <w:rPr>
          <w:bCs/>
          <w:b/>
        </w:rPr>
        <w:t xml:space="preserve">Date of Birth:</w:t>
      </w:r>
      <w:r>
        <w:t xml:space="preserve"> </w:t>
      </w:r>
      <w:r>
        <w:t xml:space="preserve">05/12/1978    </w:t>
      </w:r>
      <w:r>
        <w:t xml:space="preserve"> </w:t>
      </w:r>
      <w:r>
        <w:rPr>
          <w:bCs/>
          <w:b/>
        </w:rPr>
        <w:t xml:space="preserve">Date of Service:</w:t>
      </w:r>
      <w:r>
        <w:t xml:space="preserve"> </w:t>
      </w:r>
      <w:r>
        <w:t xml:space="preserve">October 24, 2023</w:t>
      </w:r>
    </w:p>
    <w:p>
      <w:pPr>
        <w:pStyle w:val="BodyText"/>
      </w:pPr>
      <w:r>
        <w:rPr>
          <w:bCs/>
          <w:b/>
        </w:rPr>
        <w:t xml:space="preserve">Surgeon:</w:t>
      </w:r>
      <w:r>
        <w:t xml:space="preserve"> </w:t>
      </w:r>
      <w:r>
        <w:t xml:space="preserve">Dr. Alistair Thorne, MD, FACS</w:t>
      </w:r>
    </w:p>
    <w:p>
      <w:pPr>
        <w:pStyle w:val="BodyText"/>
      </w:pPr>
      <w:r>
        <w:rPr>
          <w:bCs/>
          <w:b/>
        </w:rPr>
        <w:t xml:space="preserve">Institution:</w:t>
      </w:r>
      <w:r>
        <w:t xml:space="preserve"> </w:t>
      </w:r>
      <w:r>
        <w:t xml:space="preserve">United States San Francisco General Medical Center</w:t>
      </w:r>
    </w:p>
    <w:p>
      <w:pPr>
        <w:pStyle w:val="BodyText"/>
      </w:pPr>
      <w:r>
        <w:rPr>
          <w:bCs/>
          <w:b/>
        </w:rPr>
        <w:t xml:space="preserve">Anesthesia:</w:t>
      </w:r>
      <w:r>
        <w:t xml:space="preserve"> </w:t>
      </w:r>
      <w:r>
        <w:t xml:space="preserve">General Endotracheal Anesthesia</w:t>
      </w:r>
    </w:p>
    <w:bookmarkStart w:id="20" w:name="X74911d010958c4dae2148d10266d8eca4e09fe6"/>
    <w:p>
      <w:pPr>
        <w:pStyle w:val="Heading2"/>
      </w:pPr>
      <w:r>
        <w:t xml:space="preserve">I. Clinical Indications and Preoperative Diagnosis</w:t>
      </w:r>
    </w:p>
    <w:p>
      <w:pPr>
        <w:pStyle w:val="FirstParagraph"/>
      </w:pPr>
      <w:r>
        <w:t xml:space="preserve">The patient, a 45-year-old male, presented to the emergency department within United States San Francisco with acute onset of severe right lower quadrant abdominal pain accompanied by low-grade fever and nausea. Physical examination revealed tenderness at McBurney's point with positive Rovsing’s sign. Laboratory studies indicated leukocytosis with a white blood cell count of 14,500/mm³ and elevated C-reactive protein levels. Computed Tomography (CT) scan of the abdomen and pelvis confirmed acute uncomplicated appendicitis without evidence of perforation or abscess formation.</w:t>
      </w:r>
    </w:p>
    <w:p>
      <w:pPr>
        <w:pStyle w:val="BodyText"/>
      </w:pPr>
      <w:r>
        <w:t xml:space="preserve">The preoperative diagnosis was established as Acute Appendicitis. The decision to proceed with surgical intervention was made following a thorough discussion regarding the risks, benefits, and alternatives to surgery. Given the standard of care protocols within United States San Francisco healthcare facilities, an urgent laparoscopic appendectomy was deemed the most appropriate course of action to prevent potential complications such as rupture or peritonitis.</w:t>
      </w:r>
    </w:p>
    <w:bookmarkEnd w:id="20"/>
    <w:bookmarkStart w:id="21" w:name="ii.-postoperative-diagnosis"/>
    <w:p>
      <w:pPr>
        <w:pStyle w:val="Heading2"/>
      </w:pPr>
      <w:r>
        <w:t xml:space="preserve">II. Postoperative Diagnosis</w:t>
      </w:r>
    </w:p>
    <w:p>
      <w:pPr>
        <w:pStyle w:val="FirstParagraph"/>
      </w:pPr>
      <w:r>
        <w:t xml:space="preserve">The postoperative diagnosis remained consistent with the preoperative findings: Acute Appendicitis. The surgical specimen was subsequently sent to the pathology laboratory for histological confirmation and further analysis.</w:t>
      </w:r>
    </w:p>
    <w:bookmarkEnd w:id="21"/>
    <w:bookmarkStart w:id="22" w:name="iii.-procedure-performed"/>
    <w:p>
      <w:pPr>
        <w:pStyle w:val="Heading2"/>
      </w:pPr>
      <w:r>
        <w:t xml:space="preserve">III. Procedure Performed</w:t>
      </w:r>
    </w:p>
    <w:p>
      <w:pPr>
        <w:pStyle w:val="FirstParagraph"/>
      </w:pPr>
      <w:r>
        <w:t xml:space="preserve">The procedure performed was a Laparoscopic Appendectomy with intraoperative cholangiogram if indicated (not required in this case), executed under general anesthesia. The operation was conducted by Dr. Alistair Thorne, with assistance from the circulating nurse and scrub technician team at United States San Francisco General Medical Center.</w:t>
      </w:r>
    </w:p>
    <w:bookmarkEnd w:id="22"/>
    <w:bookmarkStart w:id="23" w:name="iv.-indications-for-surgery"/>
    <w:p>
      <w:pPr>
        <w:pStyle w:val="Heading2"/>
      </w:pPr>
      <w:r>
        <w:t xml:space="preserve">IV. Indications for Surgery</w:t>
      </w:r>
    </w:p>
    <w:p>
      <w:pPr>
        <w:pStyle w:val="FirstParagraph"/>
      </w:pPr>
      <w:r>
        <w:t xml:space="preserve">The indications for this surgical procedure included clinical symptoms consistent with acute appendicitis, radiological confirmation via CT scan, and laboratory evidence of inflammatory response. The patient provided informed consent after understanding the potential risks including infection, bleeding, injury to surrounding structures (bowel, ureter), and anesthesia-related complications.</w:t>
      </w:r>
    </w:p>
    <w:bookmarkEnd w:id="23"/>
    <w:bookmarkStart w:id="24" w:name="v.-description-of-procedure"/>
    <w:p>
      <w:pPr>
        <w:pStyle w:val="Heading2"/>
      </w:pPr>
      <w:r>
        <w:t xml:space="preserve">V. Description of Procedure</w:t>
      </w:r>
    </w:p>
    <w:p>
      <w:pPr>
        <w:pStyle w:val="FirstParagraph"/>
      </w:pPr>
      <w:r>
        <w:t xml:space="preserve">The patient was brought to the operating room and placed in a supine position. General endotracheal anesthesia was induced without complication. The abdomen was prepped with povidone-iodine solution and draped in a sterile fashion.</w:t>
      </w:r>
    </w:p>
    <w:p>
      <w:pPr>
        <w:pStyle w:val="BodyText"/>
      </w:pPr>
      <w:r>
        <w:t xml:space="preserve">A small infraumbilical incision was made, and the Hasson technique was utilized to establish pneumoperitoneum using carbon dioxide gas. A 10mm trocar was inserted at this site, followed by the insertion of the laparoscope under direct visualization. Two additional 5mm trocars were placed in the right lower quadrant and suprapubic region for instrument access.</w:t>
      </w:r>
    </w:p>
    <w:p>
      <w:pPr>
        <w:pStyle w:val="BodyText"/>
      </w:pPr>
      <w:r>
        <w:t xml:space="preserve">Laparoscopic examination revealed an inflamed, erythematous appendix with mild surrounding fibrinous exudate but no signs of gangrene or perforation. The mesoappendix was identified and dissected using a harmonic scalpel. Vascular supply to the appendix was secured using endoloops and clips to ensure hemostasis.</w:t>
      </w:r>
    </w:p>
    <w:p>
      <w:pPr>
        <w:pStyle w:val="BodyText"/>
      </w:pPr>
      <w:r>
        <w:t xml:space="preserve">The base of the appendix was transected, ensuring clear margins away from any pathological tissue. The stump was inspected for integrity, and no leakage or bleeding was noted. The appendix specimen was placed in an endobag and extracted through the umbilical port site to maintain sterility and prevent contamination of the wound tract.</w:t>
      </w:r>
    </w:p>
    <w:p>
      <w:pPr>
        <w:pStyle w:val="BodyText"/>
      </w:pPr>
      <w:r>
        <w:t xml:space="preserve">Irrigation of the abdominal cavity with warm saline was performed to remove any residual debris or blood. The visualized organs, including the ileum, cecum, bladder, and liver edge appeared intact and uninjured. Hemostasis was confirmed throughout the procedure.</w:t>
      </w:r>
    </w:p>
    <w:p>
      <w:pPr>
        <w:pStyle w:val="BodyText"/>
      </w:pPr>
      <w:r>
        <w:t xml:space="preserve">The trocars were removed under direct vision while insufflating the abdomen to check for bleeding at trocar sites. All incisions were closed using absorbable sutures for fascial closure (where necessary) and subcuticular skin stitches, followed by sterile dressings. The patient tolerated the procedure well and was transferred to the recovery room in stable condition.</w:t>
      </w:r>
    </w:p>
    <w:bookmarkEnd w:id="24"/>
    <w:bookmarkStart w:id="25" w:name="vi.-estimated-blood-loss-and-fluids"/>
    <w:p>
      <w:pPr>
        <w:pStyle w:val="Heading2"/>
      </w:pPr>
      <w:r>
        <w:t xml:space="preserve">VI. Estimated Blood Loss and Fluids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Parameter</w:t>
            </w:r>
          </w:p>
        </w:tc>
        <w:tc>
          <w:tcPr/>
          <w:p>
            <w:pPr>
              <w:pStyle w:val="Compact"/>
              <w:jc w:val="left"/>
            </w:pPr>
            <w:r>
              <w:t xml:space="preserve">Amount</w:t>
            </w:r>
          </w:p>
        </w:tc>
      </w:tr>
      <w:tr>
        <w:tc>
          <w:tcPr/>
          <w:p>
            <w:pPr>
              <w:pStyle w:val="Compact"/>
              <w:jc w:val="left"/>
            </w:pPr>
            <w:r>
              <w:t xml:space="preserve">Laboratory Estimated Blood Loss (EBL)</w:t>
            </w:r>
          </w:p>
        </w:tc>
        <w:tc>
          <w:tcPr/>
          <w:p>
            <w:pPr>
              <w:pStyle w:val="Compact"/>
              <w:jc w:val="left"/>
            </w:pPr>
            <w:r>
              <w:t xml:space="preserve">&lt; 10 mL</w:t>
            </w:r>
          </w:p>
        </w:tc>
      </w:tr>
      <w:tr>
        <w:tc>
          <w:tcPr/>
          <w:p>
            <w:pPr>
              <w:pStyle w:val="Compact"/>
              <w:jc w:val="left"/>
            </w:pPr>
            <w:r>
              <w:t xml:space="preserve">Total Urine Output</w:t>
            </w:r>
          </w:p>
        </w:tc>
        <w:tc>
          <w:tcPr/>
          <w:p>
            <w:pPr>
              <w:pStyle w:val="Compact"/>
              <w:jc w:val="left"/>
            </w:pPr>
            <w:r>
              <w:t xml:space="preserve">&gt; 500 mL</w:t>
            </w:r>
          </w:p>
        </w:tc>
      </w:tr>
    </w:tbl>
    <w:bookmarkEnd w:id="25"/>
    <w:bookmarkStart w:id="26" w:name="X1d96687f0493781a26ec676f4116b179f1a05b8"/>
    <w:p>
      <w:pPr>
        <w:pStyle w:val="Heading2"/>
      </w:pPr>
      <w:r>
        <w:t xml:space="preserve">VII. Complications and Intraoperative Findings</w:t>
      </w:r>
    </w:p>
    <w:p>
      <w:pPr>
        <w:pStyle w:val="FirstParagraph"/>
      </w:pPr>
      <w:r>
        <w:t xml:space="preserve">No intraoperative complications occurred. There was no damage to adjacent structures, no excessive bleeding requiring transfusion, and no conversion to open surgery required. The anatomical variations were standard, facilitating a straightforward laparoscopic approach.</w:t>
      </w:r>
    </w:p>
    <w:bookmarkEnd w:id="26"/>
    <w:bookmarkStart w:id="27" w:name="viii.-specimen"/>
    <w:p>
      <w:pPr>
        <w:pStyle w:val="Heading2"/>
      </w:pPr>
      <w:r>
        <w:t xml:space="preserve">VIII. Specimen</w:t>
      </w:r>
    </w:p>
    <w:p>
      <w:pPr>
        <w:pStyle w:val="FirstParagraph"/>
      </w:pPr>
      <w:r>
        <w:t xml:space="preserve">The appendix was removed intact and sent to the pathology laboratory for histopathological evaluation at United States San Francisco General Medical Center Pathology Department. Preliminary notes indicate acute inflammation with neutrophilic infiltration of the muscularis propria.</w:t>
      </w:r>
    </w:p>
    <w:bookmarkEnd w:id="27"/>
    <w:bookmarkStart w:id="28" w:name="ix.-postoperative-plan"/>
    <w:p>
      <w:pPr>
        <w:pStyle w:val="Heading2"/>
      </w:pPr>
      <w:r>
        <w:t xml:space="preserve">IX. Postoperative Plan</w:t>
      </w:r>
    </w:p>
    <w:p>
      <w:pPr>
        <w:pStyle w:val="FirstParagraph"/>
      </w:pPr>
      <w:r>
        <w:t xml:space="preserve">The patient will be monitored in the post-anesthesia care unit (PACU) until stable. Oral intake will be advanced as tolerated, starting with clear liquids. Pain management will be administered via multimodal analgesia including non-opioid agents to minimize side effects. Ambulation is encouraged early to prevent deep vein thrombosis, adhering to the Enhanced Recovery After Surgery (ERAS) protocols commonly utilized in United States San Francisco academic centers.</w:t>
      </w:r>
    </w:p>
    <w:p>
      <w:pPr>
        <w:pStyle w:val="BodyText"/>
      </w:pPr>
      <w:r>
        <w:t xml:space="preserve">The patient is expected to be discharged within 24 hours if recovery remains uncomplicated. Follow-up appointments will be scheduled for suture removal and wound inspection. The final pathology report is pending and will be reviewed upon receipt.</w:t>
      </w:r>
    </w:p>
    <w:p>
      <w:pPr>
        <w:pStyle w:val="BodyText"/>
      </w:pPr>
      <w:r>
        <w:rPr>
          <w:bCs/>
          <w:b/>
        </w:rPr>
        <w:t xml:space="preserve">Signed electronically by:</w:t>
      </w:r>
    </w:p>
    <w:p>
      <w:pPr>
        <w:pStyle w:val="BodyText"/>
      </w:pPr>
      <w:r>
        <w:br/>
      </w:r>
      <w:r>
        <w:br/>
      </w:r>
      <w:r>
        <w:t xml:space="preserve">Alistair Thorne, MD</w:t>
      </w:r>
    </w:p>
    <w:p>
      <w:pPr>
        <w:pStyle w:val="BodyText"/>
      </w:pPr>
      <w:r>
        <w:t xml:space="preserve">Licensed Surgeon</w:t>
      </w:r>
      <w:r>
        <w:br/>
      </w:r>
      <w:r>
        <w:t xml:space="preserve">United States San Francisco General Medical Center</w:t>
      </w:r>
      <w:r>
        <w:br/>
      </w:r>
      <w:r>
        <w:t xml:space="preserve">Date: October 24, 2023</w:t>
      </w:r>
    </w:p>
    <w:p>
      <w:pPr>
        <w:pStyle w:val="BodyText"/>
      </w:pPr>
      <w:r>
        <w:rPr>
          <w:bCs/>
          <w:b/>
        </w:rPr>
        <w:t xml:space="preserve">Note:</w:t>
      </w:r>
      <w:r>
        <w:t xml:space="preserve"> </w:t>
      </w:r>
      <w:r>
        <w:t xml:space="preserve">This document serves as a formal Lab Report and Operative Summary for the surgical intervention performed on John Doe. It complies with medical record-keeping standards required in United States San Francisco jurisdictions. All data presented is accurate to the best of the surgeon's knowledge at the time of documentation.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Operative Lab Report: Surgical Intervention in United States San Francisco</dc:title>
  <dc:creator/>
  <dc:language>en</dc:language>
  <cp:keywords/>
  <dcterms:created xsi:type="dcterms:W3CDTF">2026-07-29T18:23:17Z</dcterms:created>
  <dcterms:modified xsi:type="dcterms:W3CDTF">2026-07-29T18:23:17Z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