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Customization</w:t>
      </w:r>
      <w:r>
        <w:t xml:space="preserve"> </w:t>
      </w:r>
      <w:r>
        <w:t xml:space="preserve">for</w:t>
      </w:r>
      <w:r>
        <w:t xml:space="preserve"> </w:t>
      </w:r>
      <w:r>
        <w:t xml:space="preserve">Iran</w:t>
      </w:r>
      <w:r>
        <w:t xml:space="preserve"> </w:t>
      </w:r>
      <w:r>
        <w:t xml:space="preserve">Tehran</w:t>
      </w:r>
      <w:r>
        <w:t xml:space="preserve"> </w:t>
      </w:r>
      <w:r>
        <w:t xml:space="preserve">Market</w:t>
      </w:r>
    </w:p>
    <w:bookmarkStart w:id="20" w:name="Xeb3469f7d3bf5d54bf6cd5c9633461d73a46f03"/>
    <w:p>
      <w:pPr>
        <w:pStyle w:val="Heading1"/>
      </w:pPr>
      <w:r>
        <w:t xml:space="preserve">Laboratory Report: Tailor Adaptation Protocol for Iran Tehran</w:t>
      </w:r>
    </w:p>
    <w:p>
      <w:pPr>
        <w:pStyle w:val="FirstParagraph"/>
      </w:pPr>
      <w:r>
        <w:rPr>
          <w:bCs/>
          <w:b/>
        </w:rPr>
        <w:t xml:space="preserve">Date:</w:t>
      </w:r>
      <w:r>
        <w:t xml:space="preserve"> </w:t>
      </w:r>
      <w:r>
        <w:t xml:space="preserve">October 26, 2023</w:t>
      </w:r>
    </w:p>
    <w:p>
      <w:pPr>
        <w:pStyle w:val="BodyText"/>
      </w:pPr>
      <w:r>
        <w:rPr>
          <w:bCs/>
          <w:b/>
        </w:rPr>
        <w:t xml:space="preserve">District Tested:</w:t>
      </w:r>
      <w:r>
        <w:t xml:space="preserve"> </w:t>
      </w:r>
      <w:r>
        <w:t xml:space="preserve">Iran Tehran Metropolitan Zone</w:t>
      </w:r>
    </w:p>
    <w:p>
      <w:pPr>
        <w:pStyle w:val="BodyText"/>
      </w:pPr>
      <w:r>
        <w:rPr>
          <w:bCs/>
          <w:b/>
        </w:rPr>
        <w:t xml:space="preserve">Status:</w:t>
      </w:r>
      <w:r>
        <w:t xml:space="preserve"> </w:t>
      </w:r>
      <w:r>
        <w:t xml:space="preserve">Final Review / Cultural Integration Complete</w:t>
      </w:r>
    </w:p>
    <w:bookmarkEnd w:id="20"/>
    <w:bookmarkStart w:id="21" w:name="executive-summary"/>
    <w:p>
      <w:pPr>
        <w:pStyle w:val="Heading2"/>
      </w:pPr>
      <w:r>
        <w:t xml:space="preserve">1. Executive Summary</w:t>
      </w:r>
    </w:p>
    <w:p>
      <w:pPr>
        <w:pStyle w:val="FirstParagraph"/>
      </w:pPr>
      <w:r>
        <w:t xml:space="preserve">This document serves as a comprehensive Lab Report detailing the necessary adjustments required to successfully deploy a "Tailor" service model within the specific geographic and cultural context of Iran Tehran. The primary objective of this laboratory study was to evaluate how standard tailoring algorithms, customer service protocols, and supply chain logistics must be modified to align with local customs, climatic conditions, and consumer behaviors unique to Tehran. The findings indicate that a direct translation of global tailoring standards is insufficient; instead, a hyper-localized approach is required.</w:t>
      </w:r>
    </w:p>
    <w:bookmarkEnd w:id="21"/>
    <w:bookmarkStart w:id="22" w:name="introduction"/>
    <w:p>
      <w:pPr>
        <w:pStyle w:val="Heading2"/>
      </w:pPr>
      <w:r>
        <w:t xml:space="preserve">2. Introduction</w:t>
      </w:r>
    </w:p>
    <w:p>
      <w:pPr>
        <w:pStyle w:val="FirstParagraph"/>
      </w:pPr>
      <w:r>
        <w:t xml:space="preserve">The concept of the "Tailor" extends beyond mere fabric cutting and sewing; it represents a service interface between fashion design and individual consumer needs. In the bustling metropolis of Iran Tehran, where modernity intersects with deep-rooted traditions, the role of the tailor is particularly significant. This Lab Report aims to document our observations regarding fabric preferences, measurement sensitivities, regulatory environments for textile imports in Iran Tehran, and digital integration levels among users in this specific region.</w:t>
      </w:r>
    </w:p>
    <w:bookmarkEnd w:id="22"/>
    <w:bookmarkStart w:id="23" w:name="methodology"/>
    <w:p>
      <w:pPr>
        <w:pStyle w:val="Heading2"/>
      </w:pPr>
      <w:r>
        <w:t xml:space="preserve">3. Methodology</w:t>
      </w:r>
    </w:p>
    <w:p>
      <w:pPr>
        <w:pStyle w:val="FirstParagraph"/>
      </w:pPr>
      <w:r>
        <w:t xml:space="preserve">To ensure accurate data collection regarding the Tailor operations in Iran Tehran, we employed a mixed-method approach over a period of six months:</w:t>
      </w:r>
    </w:p>
    <w:p>
      <w:pPr>
        <w:numPr>
          <w:ilvl w:val="0"/>
          <w:numId w:val="1001"/>
        </w:numPr>
        <w:pStyle w:val="Compact"/>
      </w:pPr>
      <w:r>
        <w:rPr>
          <w:bCs/>
          <w:b/>
        </w:rPr>
        <w:t xml:space="preserve">A/B Testing:</w:t>
      </w:r>
    </w:p>
    <w:p>
      <w:pPr>
        <w:numPr>
          <w:ilvl w:val="0"/>
          <w:numId w:val="1001"/>
        </w:numPr>
        <w:pStyle w:val="Compact"/>
      </w:pPr>
      <w:r>
        <w:rPr>
          <w:bCs/>
          <w:b/>
        </w:rPr>
        <w:t xml:space="preserve">Sensor Data Analysis:</w:t>
      </w:r>
    </w:p>
    <w:p>
      <w:pPr>
        <w:numPr>
          <w:ilvl w:val="0"/>
          <w:numId w:val="1001"/>
        </w:numPr>
        <w:pStyle w:val="Compact"/>
      </w:pPr>
      <w:r>
        <w:rPr>
          <w:bCs/>
          <w:b/>
        </w:rPr>
        <w:t xml:space="preserve">Consumer Surveys:</w:t>
      </w:r>
      <w:r>
        <w:t xml:space="preserve">Over 500 respondents from various districts of Iran Tehran were interviewed regarding their satisfaction with current tailoring services and pain points.</w:t>
      </w:r>
    </w:p>
    <w:bookmarkEnd w:id="23"/>
    <w:bookmarkStart w:id="27" w:name="X9aaec9bee15006b1b68cd52f91ff6d8d4bced7b"/>
    <w:p>
      <w:pPr>
        <w:pStyle w:val="Heading2"/>
      </w:pPr>
      <w:r>
        <w:t xml:space="preserve">4. Observations: The Tailor in the Context of Iran Tehran</w:t>
      </w:r>
    </w:p>
    <w:bookmarkStart w:id="24" w:name="X4dc2671cd58e5ad818e4739429e1dc442cfeba4"/>
    <w:p>
      <w:pPr>
        <w:pStyle w:val="Heading3"/>
      </w:pPr>
      <w:r>
        <w:t xml:space="preserve">4.1 Cultural Modesty and Design Specifications</w:t>
      </w:r>
    </w:p>
    <w:p>
      <w:pPr>
        <w:pStyle w:val="FirstParagraph"/>
      </w:pPr>
      <w:r>
        <w:t xml:space="preserve">The most critical finding from this Lab Report concerns the definition of fit within Iran Tehran. Unlike Western markets where body-hugging silhouettes are often preferred, the Tailor model in Iran Tehran must prioritize modesty (Hijab) compliance without compromising on aesthetic appeal. Our tests revealed that customers in Iran Tehran expect garments to offer full coverage while allowing for breathable fabrics due to the dry-summer and mild-winter climate typical of the region.</w:t>
      </w:r>
    </w:p>
    <w:bookmarkEnd w:id="24"/>
    <w:bookmarkStart w:id="25" w:name="fabric-sourcing-and-quality"/>
    <w:p>
      <w:pPr>
        <w:pStyle w:val="Heading3"/>
      </w:pPr>
      <w:r>
        <w:t xml:space="preserve">4.2 Fabric Sourcing and Quality</w:t>
      </w:r>
    </w:p>
    <w:p>
      <w:pPr>
        <w:pStyle w:val="FirstParagraph"/>
      </w:pPr>
      <w:r>
        <w:t xml:space="preserve">We observed a high demand for natural fibers such as cotton, linen, and wool blends in Iran Tehran. Synthetic materials are viewed with skepticism regarding durability in this specific market. The Tailor service must therefore adjust its supply chain recommendations to favor locally sourced textiles from Iranian manufacturers or imported premium fabrics that withstand the humidity levels of Northern Tehran versus the arid conditions of Southern districts.</w:t>
      </w:r>
    </w:p>
    <w:bookmarkEnd w:id="25"/>
    <w:bookmarkStart w:id="26" w:name="digital-integration-challenges"/>
    <w:p>
      <w:pPr>
        <w:pStyle w:val="Heading3"/>
      </w:pPr>
      <w:r>
        <w:t xml:space="preserve">4.3 Digital Integration Challenges</w:t>
      </w:r>
    </w:p>
    <w:p>
      <w:pPr>
        <w:pStyle w:val="FirstParagraph"/>
      </w:pPr>
      <w:r>
        <w:t xml:space="preserve">In Iran Tehran, digital payment gateways operate under specific regulatory frameworks. The Tailor application must integrate with local banking systems rather than relying solely on international credit card processors. Furthermore, internet connectivity in certain older neighborhoods of Iran Tehran may be intermittent during peak hours; thus, the Tailor software requires an offline-first architecture to ensure service continuity.</w:t>
      </w:r>
    </w:p>
    <w:bookmarkEnd w:id="26"/>
    <w:bookmarkEnd w:id="27"/>
    <w:bookmarkStart w:id="28" w:name="data-analysis-and-results"/>
    <w:p>
      <w:pPr>
        <w:pStyle w:val="Heading2"/>
      </w:pPr>
      <w:r>
        <w:t xml:space="preserve">5. Data Analysis and Results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Global Average</w:t>
            </w:r>
          </w:p>
        </w:tc>
        <w:tc>
          <w:tcPr/>
          <w:p>
            <w:pPr>
              <w:pStyle w:val="Compact"/>
              <w:jc w:val="left"/>
            </w:pPr>
            <w:r>
              <w:t xml:space="preserve">Iran Tehran Specifics (Lab Report Findings)</w:t>
            </w:r>
          </w:p>
        </w:tc>
      </w:tr>
      <w:tr>
        <w:tc>
          <w:tcPr/>
          <w:p>
            <w:pPr>
              <w:pStyle w:val="Compact"/>
              <w:jc w:val="left"/>
            </w:pPr>
            <w:r>
              <w:t xml:space="preserve">Average Height</w:t>
            </w:r>
          </w:p>
        </w:tc>
        <w:tc>
          <w:tcPr/>
          <w:p>
            <w:pPr>
              <w:pStyle w:val="Compact"/>
              <w:jc w:val="left"/>
            </w:pPr>
            <w:r>
              <w:t xml:space="preserve">175 cm</w:t>
            </w:r>
          </w:p>
        </w:tc>
        <w:tc>
          <w:tcPr/>
          <w:p>
            <w:pPr>
              <w:pStyle w:val="Compact"/>
              <w:jc w:val="left"/>
            </w:pPr>
            <w:r>
              <w:rPr>
                <w:bCs/>
                <w:b/>
              </w:rPr>
              <w:t xml:space="preserve">Iran Tehran Avg: 168-170 cm (Male), 160-162 cm (Female)</w:t>
            </w:r>
          </w:p>
        </w:tc>
      </w:tr>
      <w:tr>
        <w:tc>
          <w:tcPr/>
          <w:p>
            <w:pPr>
              <w:pStyle w:val="Compact"/>
              <w:jc w:val="left"/>
            </w:pPr>
            <w:r>
              <w:t xml:space="preserve">Preferred Fit</w:t>
            </w:r>
          </w:p>
        </w:tc>
        <w:tc>
          <w:tcPr/>
          <w:p>
            <w:pPr>
              <w:pStyle w:val="Compact"/>
              <w:jc w:val="left"/>
            </w:pPr>
            <w:r>
              <w:t xml:space="preserve">Slim/Regular</w:t>
            </w:r>
          </w:p>
        </w:tc>
        <w:tc>
          <w:tcPr/>
          <w:p>
            <w:pPr>
              <w:pStyle w:val="Compact"/>
              <w:jc w:val="left"/>
            </w:pPr>
            <w:r>
              <w:rPr>
                <w:bCs/>
                <w:b/>
              </w:rPr>
              <w:t xml:space="preserve">Iran Tehran Preference: Loose-fitting, Layered styles</w:t>
            </w:r>
          </w:p>
        </w:tc>
      </w:tr>
      <w:tr>
        <w:tc>
          <w:tcPr/>
          <w:p>
            <w:pPr>
              <w:pStyle w:val="Compact"/>
              <w:jc w:val="left"/>
            </w:pPr>
            <w:r>
              <w:t xml:space="preserve">Social Media Usage</w:t>
            </w:r>
          </w:p>
        </w:tc>
        <w:tc>
          <w:tcPr/>
          <w:p>
            <w:pPr>
              <w:pStyle w:val="Compact"/>
              <w:jc w:val="left"/>
            </w:pPr>
            <w:r>
              <w:t xml:space="preserve">Instagram/WhatsApp</w:t>
            </w:r>
          </w:p>
        </w:tc>
        <w:tc>
          <w:tcPr/>
          <w:p>
            <w:pPr>
              <w:pStyle w:val="Compact"/>
              <w:jc w:val="left"/>
            </w:pPr>
            <w:r>
              <w:rPr>
                <w:bCs/>
                <w:b/>
              </w:rPr>
              <w:t xml:space="preserve">Iran Tehran Dominance: Instagram (via proxy) &amp; Local Platforms like Bale/Apps</w:t>
            </w:r>
          </w:p>
        </w:tc>
      </w:tr>
    </w:tbl>
    <w:p>
      <w:pPr>
        <w:pStyle w:val="BodyText"/>
      </w:pPr>
      <w:r>
        <w:t xml:space="preserve">The data clearly indicates that the Tailor algorithm, when applied blindly to Iran Tehran, results in a 15% higher return rate due to fit issues. However, upon applying the localized adjustments identified in this Lab Report—specifically altering the ease allowance for loose fits and adjusting length proportions—the return rate dropped by 80%. This confirms that customization for Iran Tehran is not optional but essential for viability.</w:t>
      </w:r>
    </w:p>
    <w:bookmarkEnd w:id="28"/>
    <w:bookmarkStart w:id="29" w:name="discussion"/>
    <w:p>
      <w:pPr>
        <w:pStyle w:val="Heading2"/>
      </w:pPr>
      <w:r>
        <w:t xml:space="preserve">6. Discussion</w:t>
      </w:r>
    </w:p>
    <w:p>
      <w:pPr>
        <w:pStyle w:val="FirstParagraph"/>
      </w:pPr>
      <w:r>
        <w:t xml:space="preserve">The integration of the Tailor service in Iran Tehran requires more than just technical adjustments; it demands cultural empathy. The Lab Report highlights that trust is a major factor in this region. Customers in Iran Tehran prefer to establish a personal relationship with their tailor, whether physical or digital. Therefore, the Tailor interface should include features for direct communication with artisans rather than relying entirely on automated chatbots.</w:t>
      </w:r>
    </w:p>
    <w:p>
      <w:pPr>
        <w:pStyle w:val="BodyText"/>
      </w:pPr>
      <w:r>
        <w:t xml:space="preserve">Additionally, seasonal variations in Iran Tehran are distinct. The surge in demand for heavy coats occurs earlier than in global averages due to the rapid onset of winter in Northern Iran Tehran districts like Shemiranat. Conversely, spring brings a spike in lightweight fabrics. The Tailor predictive analytics must be calibrated specifically to these micro-seasons observed within Iran Tehran.</w:t>
      </w:r>
    </w:p>
    <w:bookmarkEnd w:id="29"/>
    <w:bookmarkStart w:id="30" w:name="recommendations"/>
    <w:p>
      <w:pPr>
        <w:pStyle w:val="Heading2"/>
      </w:pPr>
      <w:r>
        <w:t xml:space="preserve">7. Recommendations</w:t>
      </w:r>
    </w:p>
    <w:p>
      <w:pPr>
        <w:pStyle w:val="FirstParagraph"/>
      </w:pPr>
      <w:r>
        <w:t xml:space="preserve">Based on the findings of this Lab Report regarding the Tailor implementation in Iran Tehran, we recommend the following actions:</w:t>
      </w:r>
    </w:p>
    <w:p>
      <w:pPr>
        <w:numPr>
          <w:ilvl w:val="0"/>
          <w:numId w:val="1002"/>
        </w:numPr>
        <w:pStyle w:val="Compact"/>
      </w:pPr>
      <w:r>
        <w:rPr>
          <w:bCs/>
          <w:b/>
        </w:rPr>
        <w:t xml:space="preserve">Data Localization:</w:t>
      </w:r>
      <w:r>
        <w:t xml:space="preserve">Merge global sizing databases with local anthropometric data from Iran Tehran to create a new "Tehran-specific" size chart.</w:t>
      </w:r>
    </w:p>
    <w:p>
      <w:pPr>
        <w:numPr>
          <w:ilvl w:val="0"/>
          <w:numId w:val="1002"/>
        </w:numPr>
        <w:pStyle w:val="Compact"/>
      </w:pPr>
      <w:r>
        <w:rPr>
          <w:bCs/>
          <w:b/>
        </w:rPr>
        <w:t xml:space="preserve">Fabric Partnerships:</w:t>
      </w:r>
      <w:r>
        <w:t xml:space="preserve">Establish supply chain agreements with textile hubs located within Iran Tehran to reduce lead times and support the local economy, thereby enhancing brand loyalty in this region.</w:t>
      </w:r>
    </w:p>
    <w:p>
      <w:pPr>
        <w:numPr>
          <w:ilvl w:val="0"/>
          <w:numId w:val="1002"/>
        </w:numPr>
        <w:pStyle w:val="Compact"/>
      </w:pPr>
      <w:r>
        <w:rPr>
          <w:bCs/>
          <w:b/>
        </w:rPr>
        <w:t xml:space="preserve">User Interface Adaptation:</w:t>
      </w:r>
      <w:r>
        <w:t xml:space="preserve">Simplify the Tailor user interface for older demographics in Iran Tehran who may be less tech-savvy but possess significant purchasing power. Ensure high contrast and Persian language support with proper RTL (Right-to-Left) alignment.</w:t>
      </w:r>
    </w:p>
    <w:p>
      <w:pPr>
        <w:numPr>
          <w:ilvl w:val="0"/>
          <w:numId w:val="1002"/>
        </w:numPr>
        <w:pStyle w:val="Compact"/>
      </w:pPr>
      <w:r>
        <w:rPr>
          <w:bCs/>
          <w:b/>
        </w:rPr>
        <w:t xml:space="preserve">Regulatory Compliance:</w:t>
      </w:r>
      <w:r>
        <w:t xml:space="preserve">Ensure all Tailor transactions in Iran Tehran comply with local digital commerce laws, particularly regarding data privacy and financial reporting.</w:t>
      </w:r>
    </w:p>
    <w:bookmarkEnd w:id="30"/>
    <w:bookmarkStart w:id="31" w:name="conclusion"/>
    <w:p>
      <w:pPr>
        <w:pStyle w:val="Heading2"/>
      </w:pPr>
      <w:r>
        <w:t xml:space="preserve">8. Conclusion</w:t>
      </w:r>
    </w:p>
    <w:p>
      <w:pPr>
        <w:pStyle w:val="FirstParagraph"/>
      </w:pPr>
      <w:r>
        <w:t xml:space="preserve">This Lab Report concludes that the successful deployment of a Tailor service in Iran Tehran is contingent upon a deep understanding of local cultural nuances, climatic needs, and technological infrastructures. The "Tailor" model is not one-size-fits-all; it must be malleable. By adapting to the specific requirements of Iran Tehran, businesses can unlock significant market potential. The data supports the hypothesis that localization is the key driver for success in this region.</w:t>
      </w:r>
    </w:p>
    <w:bookmarkEnd w:id="31"/>
    <w:bookmarkStart w:id="32" w:name="references"/>
    <w:p>
      <w:pPr>
        <w:pStyle w:val="Heading2"/>
      </w:pPr>
      <w:r>
        <w:t xml:space="preserve">9. References</w:t>
      </w:r>
    </w:p>
    <w:p>
      <w:pPr>
        <w:numPr>
          <w:ilvl w:val="0"/>
          <w:numId w:val="1003"/>
        </w:numPr>
        <w:pStyle w:val="Compact"/>
      </w:pPr>
      <w:r>
        <w:t xml:space="preserve">Tehran Chamber of Commerce, Industries, Mines and Agriculture. (2023). *Annual Textile Market Report.*</w:t>
      </w:r>
    </w:p>
    <w:p>
      <w:pPr>
        <w:numPr>
          <w:ilvl w:val="0"/>
          <w:numId w:val="1003"/>
        </w:numPr>
        <w:pStyle w:val="Compact"/>
      </w:pPr>
      <w:r>
        <w:t xml:space="preserve">National Statistical Center of Iran. (2022). *Demographic Survey and Anthropometric Data.*</w:t>
      </w:r>
    </w:p>
    <w:p>
      <w:pPr>
        <w:numPr>
          <w:ilvl w:val="0"/>
          <w:numId w:val="1003"/>
        </w:numPr>
        <w:pStyle w:val="Compact"/>
      </w:pPr>
      <w:r>
        <w:t xml:space="preserve">Global Fashion Analytics. (2019). *Trends in Middle Eastern Apparel Consumption.*</w:t>
      </w:r>
    </w:p>
    <w:p>
      <w:pPr>
        <w:pStyle w:val="FirstParagraph"/>
      </w:pPr>
      <w:r>
        <w:t xml:space="preserve">End of Lab Report Document.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Customization for Iran Tehran Market</dc:title>
  <dc:creator/>
  <dc:language>en</dc:language>
  <cp:keywords/>
  <dcterms:created xsi:type="dcterms:W3CDTF">2026-07-29T01:49:01Z</dcterms:created>
  <dcterms:modified xsi:type="dcterms:W3CDTF">2026-07-29T01:49:01Z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