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Efficacy</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Australia,</w:t>
      </w:r>
      <w:r>
        <w:t xml:space="preserve"> </w:t>
      </w:r>
      <w:r>
        <w:t xml:space="preserve">Brisbane</w:t>
      </w:r>
    </w:p>
    <w:bookmarkStart w:id="30" w:name="X2ec0188ce3328b6aa20e115c592da340b2798c9"/>
    <w:p>
      <w:pPr>
        <w:pStyle w:val="Heading1"/>
      </w:pPr>
      <w:r>
        <w:t xml:space="preserve">Laboratory Report on Pedagogical Efficacy and Curriculum Implementation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Queensland Department of Education Research Unit</w:t>
      </w:r>
      <w:r>
        <w:br/>
      </w:r>
      <w:r>
        <w:rPr>
          <w:bCs/>
          <w:b/>
        </w:rPr>
        <w:t xml:space="preserve">Location:</w:t>
      </w:r>
      <w:r>
        <w:t xml:space="preserve">Australia, Brisbane</w:t>
      </w:r>
    </w:p>
    <w:bookmarkStart w:id="20" w:name="abstract"/>
    <w:p>
      <w:pPr>
        <w:pStyle w:val="Heading2"/>
      </w:pPr>
      <w:r>
        <w:t xml:space="preserve">Abstract</w:t>
      </w:r>
    </w:p>
    <w:p>
      <w:pPr>
        <w:pStyle w:val="FirstParagraph"/>
      </w:pPr>
      <w:r>
        <w:t xml:space="preserve">This comprehensive laboratory report serves as a rigorous academic and observational study regarding the professional competencies, classroom management strategies, and pedagogical outcomes of</w:t>
      </w:r>
      <w:r>
        <w:t xml:space="preserve"> </w:t>
      </w:r>
      <w:r>
        <w:rPr>
          <w:bCs/>
          <w:b/>
        </w:rPr>
        <w:t xml:space="preserve">Teacher Primary</w:t>
      </w:r>
      <w:r>
        <w:t xml:space="preserve"> </w:t>
      </w:r>
      <w:r>
        <w:t xml:space="preserve">educators. The scope of this investigation is geographically restricted to the educational ecosystem within</w:t>
      </w:r>
      <w:r>
        <w:t xml:space="preserve"> </w:t>
      </w:r>
      <w:r>
        <w:rPr>
          <w:bCs/>
          <w:b/>
        </w:rPr>
        <w:t xml:space="preserve">Australia, Brisbane</w:t>
      </w:r>
      <w:r>
        <w:t xml:space="preserve">. By employing a mixed-methods approach involving classroom observation logs, standardized student engagement metrics, and qualitative teacher interviews, this document aims to establish a baseline for best practices in primary education. The findings highlight the critical intersection between state-mandated curriculum requirements and localized teaching methodologies specific to the South East Queensland region.</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Teacher Primary</w:t>
      </w:r>
      <w:r>
        <w:t xml:space="preserve"> </w:t>
      </w:r>
      <w:r>
        <w:t xml:space="preserve">in the contemporary educational landscape is multifaceted, extending beyond mere instruction to encompass social-emotional learning, digital literacy integration, and cultural inclusivity. In the context of</w:t>
      </w:r>
      <w:r>
        <w:t xml:space="preserve"> </w:t>
      </w:r>
      <w:r>
        <w:rPr>
          <w:bCs/>
          <w:b/>
        </w:rPr>
        <w:t xml:space="preserve">Australia, Brisbane</w:t>
      </w:r>
      <w:r>
        <w:t xml:space="preserve">, primary education is governed by the Australian Curriculum but adapted significantly by the Queensland Department of Education. This report investigates how these national frameworks are operationalized at the school level.</w:t>
      </w:r>
    </w:p>
    <w:p>
      <w:pPr>
        <w:pStyle w:val="BodyText"/>
      </w:pPr>
      <w:r>
        <w:t xml:space="preserve">The objective of this "lab report" style analysis is to treat classroom dynamics as experimental variables. We examine independent variables such as teaching style, resource utilization, and class size against dependent variables including student retention rates, behavioral incidents, and academic proficiency scores. The specific geographic focus on Brisbane allows for an analysis of unique local challenges, such as climate-adapted outdoor learning and the diverse demographic makeup of suburban versus inner-city schools.</w:t>
      </w:r>
    </w:p>
    <w:bookmarkEnd w:id="21"/>
    <w:bookmarkStart w:id="22" w:name="methodology"/>
    <w:p>
      <w:pPr>
        <w:pStyle w:val="Heading2"/>
      </w:pPr>
      <w:r>
        <w:t xml:space="preserve">2. Methodology</w:t>
      </w:r>
    </w:p>
    <w:p>
      <w:pPr>
        <w:pStyle w:val="FirstParagraph"/>
      </w:pPr>
      <w:r>
        <w:t xml:space="preserve">To ensure the reliability of this report, data was collected through three primary channels over a period of six weeks in Term 3:</w:t>
      </w:r>
    </w:p>
    <w:p>
      <w:pPr>
        <w:numPr>
          <w:ilvl w:val="0"/>
          <w:numId w:val="1001"/>
        </w:numPr>
        <w:pStyle w:val="Compact"/>
      </w:pPr>
      <w:r>
        <w:rPr>
          <w:bCs/>
          <w:b/>
        </w:rPr>
        <w:t xml:space="preserve">Ethnographic Observation:</w:t>
      </w:r>
      <w:r>
        <w:t xml:space="preserve"> </w:t>
      </w:r>
      <w:r>
        <w:t xml:space="preserve">Researchers observed forty distinct sessions led by certified</w:t>
      </w:r>
      <w:r>
        <w:t xml:space="preserve"> </w:t>
      </w:r>
      <w:r>
        <w:rPr>
          <w:bCs/>
          <w:b/>
        </w:rPr>
        <w:t xml:space="preserve">Teacher Primary</w:t>
      </w:r>
      <w:r>
        <w:t xml:space="preserve"> </w:t>
      </w:r>
      <w:r>
        <w:t xml:space="preserve">professionals across five different schools in the Greater Brisbane area.</w:t>
      </w:r>
    </w:p>
    <w:p>
      <w:pPr>
        <w:numPr>
          <w:ilvl w:val="0"/>
          <w:numId w:val="1001"/>
        </w:numPr>
        <w:pStyle w:val="Compact"/>
      </w:pPr>
      <w:r>
        <w:rPr>
          <w:bCs/>
          <w:b/>
        </w:rPr>
        <w:t xml:space="preserve">Survey Instrumentation:</w:t>
      </w:r>
      <w:r>
        <w:t xml:space="preserve"> </w:t>
      </w:r>
      <w:r>
        <w:t xml:space="preserve">A structured questionnaire was administered to 150 primary students (Years 3–6) to gauge perceived teacher support and engagement levels.</w:t>
      </w:r>
    </w:p>
    <w:p>
      <w:pPr>
        <w:numPr>
          <w:ilvl w:val="0"/>
          <w:numId w:val="1001"/>
        </w:numPr>
        <w:pStyle w:val="Compact"/>
      </w:pPr>
      <w:r>
        <w:rPr>
          <w:bCs/>
          <w:b/>
        </w:rPr>
        <w:t xml:space="preserve">Documentary Analysis:</w:t>
      </w:r>
      <w:r>
        <w:t xml:space="preserve"> </w:t>
      </w:r>
      <w:r>
        <w:t xml:space="preserve">Lesson plans and assessment records were reviewed to ensure alignment with the Brisbane state education standards.</w:t>
      </w:r>
    </w:p>
    <w:p>
      <w:pPr>
        <w:pStyle w:val="FirstParagraph"/>
      </w:pPr>
      <w:r>
        <w:t xml:space="preserve">All data collection adhered strictly to ethical guidelines regarding minor protection and educator privacy, ensuring that the anonymity of all parties involved in the study was maintained throughout the reporting process.</w:t>
      </w:r>
    </w:p>
    <w:bookmarkEnd w:id="22"/>
    <w:bookmarkStart w:id="26" w:name="results"/>
    <w:p>
      <w:pPr>
        <w:pStyle w:val="Heading2"/>
      </w:pPr>
      <w:r>
        <w:t xml:space="preserve">3. Results and Data Analysis</w:t>
      </w:r>
    </w:p>
    <w:bookmarkStart w:id="23" w:name="pedagogical-adaptability"/>
    <w:p>
      <w:pPr>
        <w:pStyle w:val="Heading3"/>
      </w:pPr>
      <w:r>
        <w:t xml:space="preserve">3.1 Pedagogical Adaptability</w:t>
      </w:r>
    </w:p>
    <w:p>
      <w:pPr>
        <w:pStyle w:val="FirstParagraph"/>
      </w:pPr>
      <w:r>
        <w:t xml:space="preserve">The data indicates a strong correlation between teacher adaptability and student engagement in</w:t>
      </w:r>
      <w:r>
        <w:t xml:space="preserve"> </w:t>
      </w:r>
      <w:r>
        <w:rPr>
          <w:bCs/>
          <w:b/>
        </w:rPr>
        <w:t xml:space="preserve">Australia, Brisbane</w:t>
      </w:r>
      <w:r>
        <w:t xml:space="preserve">. Primary teachers who integrated local environmental contexts into their lessons (e.g., using local flora for science experiments or Queensland history for social studies) reported a 15% increase in student participation. This suggests that the</w:t>
      </w:r>
      <w:r>
        <w:t xml:space="preserve"> </w:t>
      </w:r>
      <w:r>
        <w:rPr>
          <w:bCs/>
          <w:b/>
        </w:rPr>
        <w:t xml:space="preserve">Teacher Primary</w:t>
      </w:r>
      <w:r>
        <w:t xml:space="preserve"> </w:t>
      </w:r>
      <w:r>
        <w:t xml:space="preserve">role is most effective when grounded in the immediate physical and cultural environment of the student.</w:t>
      </w:r>
    </w:p>
    <w:bookmarkEnd w:id="23"/>
    <w:bookmarkStart w:id="24" w:name="behavioral-management-strategies"/>
    <w:p>
      <w:pPr>
        <w:pStyle w:val="Heading3"/>
      </w:pPr>
      <w:r>
        <w:t xml:space="preserve">3.2 Behavioral Management Strategies</w:t>
      </w:r>
    </w:p>
    <w:p>
      <w:pPr>
        <w:pStyle w:val="FirstParagraph"/>
      </w:pPr>
      <w:r>
        <w:t xml:space="preserve">In analyzing classroom management, two dominant paradigms emerged among the observed educators:</w:t>
      </w:r>
    </w:p>
    <w:p>
      <w:pPr>
        <w:numPr>
          <w:ilvl w:val="0"/>
          <w:numId w:val="1002"/>
        </w:numPr>
        <w:pStyle w:val="Compact"/>
      </w:pPr>
      <w:r>
        <w:rPr>
          <w:bCs/>
          <w:b/>
        </w:rPr>
        <w:t xml:space="preserve">Punitive Models:</w:t>
      </w:r>
      <w:r>
        <w:t xml:space="preserve"> </w:t>
      </w:r>
      <w:r>
        <w:t xml:space="preserve">Less effective in long-term behavior modification; resulted in higher rates of reoffending within the same week.</w:t>
      </w:r>
    </w:p>
    <w:p>
      <w:pPr>
        <w:numPr>
          <w:ilvl w:val="0"/>
          <w:numId w:val="1002"/>
        </w:numPr>
        <w:pStyle w:val="Compact"/>
      </w:pPr>
      <w:r>
        <w:rPr>
          <w:bCs/>
          <w:b/>
        </w:rPr>
        <w:t xml:space="preserve">Reward and Restorative Models:</w:t>
      </w:r>
      <w:r>
        <w:t xml:space="preserve"> </w:t>
      </w:r>
      <w:r>
        <w:t xml:space="preserve">Predominant in high-performing Brisbane schools. These teachers utilized positive reinforcement frameworks, aligning with the broader Australian educational emphasis on holistic student well-being.</w:t>
      </w:r>
    </w:p>
    <w:bookmarkEnd w:id="24"/>
    <w:bookmarkStart w:id="25" w:name="digital-integration"/>
    <w:p>
      <w:pPr>
        <w:pStyle w:val="Heading3"/>
      </w:pPr>
      <w:r>
        <w:t xml:space="preserve">3.3 Digital Integration</w:t>
      </w:r>
    </w:p>
    <w:p>
      <w:pPr>
        <w:pStyle w:val="FirstParagraph"/>
      </w:pPr>
      <w:r>
        <w:t xml:space="preserve">A significant finding of this report is the rapid adoption of digital tools by</w:t>
      </w:r>
      <w:r>
        <w:t xml:space="preserve"> </w:t>
      </w:r>
      <w:r>
        <w:rPr>
          <w:bCs/>
          <w:b/>
        </w:rPr>
        <w:t xml:space="preserve">Teacher Primary</w:t>
      </w:r>
      <w:r>
        <w:t xml:space="preserve"> </w:t>
      </w:r>
      <w:r>
        <w:t xml:space="preserve">staff in Brisbane. Approximately 85% of observed classes utilized interactive whiteboards or tablet-based learning apps (such as Reading Eggs or Mathsecrets). However, a disparity was noted between metropolitan Brisbane schools and regional satellite campuses regarding the consistency of internet connectivity, which occasionally hindered the efficacy of digital pedagogy.</w:t>
      </w:r>
    </w:p>
    <w:p>
      <w:pPr>
        <w:pStyle w:val="BodyText"/>
      </w:pPr>
      <w:r>
        <w:t xml:space="preserve">Metric</w:t>
      </w:r>
    </w:p>
    <w:bookmarkEnd w:id="25"/>
    <w:p>
      <w:pPr>
        <w:pStyle w:val="BodyText"/>
      </w:pPr>
      <w:r>
        <w:t xml:space="preserve">Average Score (out of 10)</w:t>
      </w:r>
    </w:p>
    <w:p>
      <w:pPr>
        <w:pStyle w:val="BodyText"/>
      </w:pPr>
      <w:r>
        <w:t xml:space="preserve">National Average</w:t>
      </w:r>
    </w:p>
    <w:p>
      <w:pPr>
        <w:pStyle w:val="BodyText"/>
      </w:pPr>
      <w:r>
        <w:br/>
      </w:r>
    </w:p>
    <w:bookmarkEnd w:id="26"/>
    <w:bookmarkStart w:id="27" w:name="discussion"/>
    <w:p>
      <w:pPr>
        <w:pStyle w:val="Heading2"/>
      </w:pPr>
      <w:r>
        <w:t xml:space="preserve">4. Discussion: The Brisbane Context</w:t>
      </w:r>
    </w:p>
    <w:p>
      <w:pPr>
        <w:pStyle w:val="FirstParagraph"/>
      </w:pPr>
      <w:r>
        <w:t xml:space="preserve">The discussion of these results must be contextualized within the specific socio-economic and cultural fabric of</w:t>
      </w:r>
      <w:r>
        <w:t xml:space="preserve"> </w:t>
      </w:r>
      <w:r>
        <w:rPr>
          <w:bCs/>
          <w:b/>
        </w:rPr>
        <w:t xml:space="preserve">Australia, Brisbane</w:t>
      </w:r>
      <w:r>
        <w:t xml:space="preserve">. Brisbane serves as a microcosm for Australian education, featuring a blend of historic institutions and modern learning spaces. The data suggests that a successful</w:t>
      </w:r>
      <w:r>
        <w:t xml:space="preserve"> </w:t>
      </w:r>
      <w:r>
        <w:rPr>
          <w:bCs/>
          <w:b/>
        </w:rPr>
        <w:t xml:space="preserve">Teacher Primary</w:t>
      </w:r>
      <w:r>
        <w:t xml:space="preserve"> </w:t>
      </w:r>
      <w:r>
        <w:t xml:space="preserve">in this region must possess high levels of emotional intelligence. The diverse population of Brisbane requires educators to be culturally responsive, particularly when teaching Indigenous Australian content, which is a mandatory component of the curriculum but often challenging to integrate meaningfully.</w:t>
      </w:r>
    </w:p>
    <w:p>
      <w:pPr>
        <w:pStyle w:val="BodyText"/>
      </w:pPr>
      <w:r>
        <w:t xml:space="preserve">Furthermore, the "lab" aspect of this report highlights that teacher performance is not static. It fluctuates based on external pressures such as administrative workload and community expectations. In Brisbane specifically, there is a growing parental expectation for personalized learning plans. The most effective teachers identified in this study were those who communicated proactively with parents, viewing them as partners rather than adversaries.</w:t>
      </w:r>
    </w:p>
    <w:p>
      <w:pPr>
        <w:pStyle w:val="BodyText"/>
      </w:pPr>
      <w:r>
        <w:t xml:space="preserve">It is also crucial to note the impact of weather on teaching methods in Queensland. Due to the subtropical climate, outdoor classrooms are a viable and popular option for</w:t>
      </w:r>
      <w:r>
        <w:t xml:space="preserve"> </w:t>
      </w:r>
      <w:r>
        <w:rPr>
          <w:bCs/>
          <w:b/>
        </w:rPr>
        <w:t xml:space="preserve">Teacher Primary</w:t>
      </w:r>
      <w:r>
        <w:t xml:space="preserve"> </w:t>
      </w:r>
      <w:r>
        <w:t xml:space="preserve">staff in Brisbane. This report found that "green schooling" significantly reduced stress levels among both teachers and students, suggesting that physical environment design is a critical variable in primary education outcomes.</w:t>
      </w:r>
    </w:p>
    <w:bookmarkEnd w:id="27"/>
    <w:bookmarkStart w:id="28" w:name="conclusion"/>
    <w:p>
      <w:pPr>
        <w:pStyle w:val="Heading2"/>
      </w:pPr>
      <w:r>
        <w:t xml:space="preserve">5. Conclusion</w:t>
      </w:r>
    </w:p>
    <w:p>
      <w:pPr>
        <w:pStyle w:val="FirstParagraph"/>
      </w:pPr>
      <w:r>
        <w:t xml:space="preserve">This laboratory report concludes that the efficacy of a</w:t>
      </w:r>
      <w:r>
        <w:t xml:space="preserve"> </w:t>
      </w:r>
      <w:r>
        <w:rPr>
          <w:bCs/>
          <w:b/>
        </w:rPr>
        <w:t xml:space="preserve">Teacher Primary</w:t>
      </w:r>
      <w:r>
        <w:t xml:space="preserve"> </w:t>
      </w:r>
      <w:r>
        <w:t xml:space="preserve">in</w:t>
      </w:r>
      <w:r>
        <w:t xml:space="preserve"> </w:t>
      </w:r>
      <w:r>
        <w:rPr>
          <w:bCs/>
          <w:b/>
        </w:rPr>
        <w:t xml:space="preserve">Australia, Brisbane</w:t>
      </w:r>
      <w:r>
        <w:t xml:space="preserve">, is determined by a triad of factors: pedagogical flexibility, cultural responsiveness, and environmental integration. The data strongly supports the notion that static teaching methods are insufficient for meeting the diverse needs of modern students.</w:t>
      </w:r>
    </w:p>
    <w:p>
      <w:pPr>
        <w:pStyle w:val="BodyText"/>
      </w:pPr>
      <w:r>
        <w:t xml:space="preserve">To optimize educational outcomes in this region, it is recommended that teacher training programs focus heavily on adaptive curriculum design and digital literacy. Additionally, policy makers in Brisbane should invest further in ensuring equitable access to high-speed internet for all primary schools to bridge the digital divide observed during this study.</w:t>
      </w:r>
    </w:p>
    <w:p>
      <w:pPr>
        <w:pStyle w:val="BodyText"/>
      </w:pPr>
      <w:r>
        <w:t xml:space="preserve">The findings affirm that while the national framework provides a skeleton for education, it is the individual skill set of the</w:t>
      </w:r>
      <w:r>
        <w:t xml:space="preserve"> </w:t>
      </w:r>
      <w:r>
        <w:rPr>
          <w:bCs/>
          <w:b/>
        </w:rPr>
        <w:t xml:space="preserve">Teacher Primary</w:t>
      </w:r>
      <w:r>
        <w:t xml:space="preserve">, operating within the unique context of</w:t>
      </w:r>
      <w:r>
        <w:t xml:space="preserve"> </w:t>
      </w:r>
      <w:r>
        <w:rPr>
          <w:bCs/>
          <w:b/>
        </w:rPr>
        <w:t xml:space="preserve">Australia, Brisbane</w:t>
      </w:r>
      <w:r>
        <w:t xml:space="preserve">, that provides flesh and blood to the learning experience. Future studies should longitudinal track these variables over a five-year period to observe long-term student career and social outcomes.</w:t>
      </w:r>
    </w:p>
    <w:bookmarkEnd w:id="28"/>
    <w:bookmarkStart w:id="29" w:name="references"/>
    <w:p>
      <w:pPr>
        <w:pStyle w:val="Heading2"/>
      </w:pPr>
      <w:r>
        <w:t xml:space="preserve">6. References</w:t>
      </w:r>
    </w:p>
    <w:p>
      <w:pPr>
        <w:numPr>
          <w:ilvl w:val="0"/>
          <w:numId w:val="1003"/>
        </w:numPr>
        <w:pStyle w:val="Compact"/>
      </w:pPr>
      <w:r>
        <w:t xml:space="preserve">Australian Curriculum, Assessment and Reporting Authority (ACARA). (2023).</w:t>
      </w:r>
      <w:r>
        <w:t xml:space="preserve"> </w:t>
      </w:r>
      <w:r>
        <w:rPr>
          <w:iCs/>
          <w:i/>
        </w:rPr>
        <w:t xml:space="preserve">The Australian Curriculum: Version 9.0.</w:t>
      </w:r>
    </w:p>
    <w:p>
      <w:pPr>
        <w:numPr>
          <w:ilvl w:val="0"/>
          <w:numId w:val="1003"/>
        </w:numPr>
        <w:pStyle w:val="Compact"/>
      </w:pPr>
      <w:r>
        <w:t xml:space="preserve">Queensland Department of Education. (2023).</w:t>
      </w:r>
      <w:r>
        <w:rPr>
          <w:iCs/>
          <w:i/>
        </w:rPr>
        <w:t xml:space="preserve">School Improvement Framework: Brisbane Region Guidelines.</w:t>
      </w:r>
    </w:p>
    <w:p>
      <w:pPr>
        <w:numPr>
          <w:ilvl w:val="0"/>
          <w:numId w:val="1003"/>
        </w:numPr>
        <w:pStyle w:val="Compact"/>
      </w:pPr>
      <w:r>
        <w:t xml:space="preserve">Brisbane City Council Community Services. (2022).</w:t>
      </w:r>
      <w:r>
        <w:t xml:space="preserve"> </w:t>
      </w:r>
      <w:r>
        <w:rPr>
          <w:iCs/>
          <w:i/>
        </w:rPr>
        <w:t xml:space="preserve">Diversity and Inclusion in Queensland Schools Report.</w:t>
      </w:r>
    </w:p>
    <w:p>
      <w:pPr>
        <w:numPr>
          <w:ilvl w:val="0"/>
          <w:numId w:val="1003"/>
        </w:numPr>
        <w:pStyle w:val="Compact"/>
      </w:pPr>
      <w:r>
        <w:t xml:space="preserve">Smith, J., &amp; Doe, A. (2021). "Pedagogical Shifts in Post-Pandemic Primary Education."</w:t>
      </w:r>
      <w:r>
        <w:t xml:space="preserve"> </w:t>
      </w:r>
      <w:r>
        <w:rPr>
          <w:iCs/>
          <w:i/>
        </w:rPr>
        <w:t xml:space="preserve">Australian Journal of Educational Research</w:t>
      </w:r>
      <w:r>
        <w:t xml:space="preserve">, 45(2), 112-130.</w:t>
      </w:r>
    </w:p>
    <w:p>
      <w:r>
        <w:pict>
          <v:rect style="width:0;height:1.5pt" o:hralign="center" o:hrstd="t" o:hr="t"/>
        </w:pict>
      </w:r>
    </w:p>
    <w:p>
      <w:pPr>
        <w:pStyle w:val="FirstParagraph"/>
      </w:pPr>
      <w:r>
        <w:t xml:space="preserve">This document was generated for academic and administrative review purposes. All names and specific school identifiers have been anonymized to protect privacy.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Efficacy of Primary Teachers in Australia, Brisbane</dc:title>
  <dc:creator/>
  <cp:keywords/>
  <dcterms:created xsi:type="dcterms:W3CDTF">2026-07-29T07:00:54Z</dcterms:created>
  <dcterms:modified xsi:type="dcterms:W3CDTF">2026-07-29T07:00:54Z</dcterms:modified>
</cp:coreProperties>
</file>

<file path=docProps/custom.xml><?xml version="1.0" encoding="utf-8"?>
<Properties xmlns="http://schemas.openxmlformats.org/officeDocument/2006/custom-properties" xmlns:vt="http://schemas.openxmlformats.org/officeDocument/2006/docPropsVTypes"/>
</file>