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Optimization</w:t>
      </w:r>
      <w:r>
        <w:t xml:space="preserve"> </w:t>
      </w:r>
      <w:r>
        <w:t xml:space="preserve">in</w:t>
      </w:r>
      <w:r>
        <w:t xml:space="preserve"> </w:t>
      </w:r>
      <w:r>
        <w:t xml:space="preserve">China</w:t>
      </w:r>
      <w:r>
        <w:t xml:space="preserve"> </w:t>
      </w:r>
      <w:r>
        <w:t xml:space="preserve">Guangzhou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Educational Standards and Pedagogy</w:t>
      </w:r>
      <w:r>
        <w:br/>
      </w:r>
    </w:p>
    <w:p>
      <w:pPr>
        <w:pStyle w:val="BodyText"/>
      </w:pPr>
      <w:r>
        <w:t xml:space="preserve">: Research &amp; Development Division, Guangzhou Regional Office</w:t>
      </w:r>
      <w:r>
        <w:br/>
      </w:r>
    </w:p>
    <w:bookmarkStart w:id="30" w:name="X61779a7075e65f55bdc7585e0b412b4d3d1901b"/>
    <w:p>
      <w:pPr>
        <w:pStyle w:val="Heading1"/>
      </w:pPr>
      <w:r>
        <w:t xml:space="preserve">Laboratory Report: Teacher Primary Efficacy Framework in China Guangzhou Context</w:t>
      </w:r>
    </w:p>
    <w:bookmarkStart w:id="20" w:name="executive-summary"/>
    <w:p>
      <w:pPr>
        <w:pStyle w:val="Heading2"/>
      </w:pPr>
      <w:r>
        <w:t xml:space="preserve">1. Executive Summary</w:t>
      </w:r>
    </w:p>
    <w:p>
      <w:pPr>
        <w:pStyle w:val="FirstParagraph"/>
      </w:pPr>
      <w:r>
        <w:t xml:space="preserve">This document serves as a comprehensive laboratory report detailing the operational dynamics, pedagogical outcomes, and socio-cultural integration of the</w:t>
      </w:r>
      <w:r>
        <w:t xml:space="preserve"> </w:t>
      </w:r>
      <w:r>
        <w:rPr>
          <w:bCs/>
          <w:b/>
        </w:rPr>
        <w:t xml:space="preserve">Teacher Primary</w:t>
      </w:r>
      <w:r>
        <w:t xml:space="preserve"> </w:t>
      </w:r>
      <w:r>
        <w:t xml:space="preserve">role within the rapidly evolving educational landscape of . As one of China’s most dynamic special economic zones and a global hub for technology and trade, Guangzhou presents a unique case study for primary education methodologies. The objective of this report is to analyze how the foundational role of the primary teacher influences student development, curriculum adherence, and digital integration in this specific geographic location. Our findings suggest that while structural resources are abundant in</w:t>
      </w:r>
      <w:r>
        <w:t xml:space="preserve"> </w:t>
      </w:r>
      <w:r>
        <w:rPr>
          <w:bCs/>
          <w:b/>
        </w:rPr>
        <w:t xml:space="preserve">China Guangzhou, the human element—the</w:t>
      </w:r>
      <w:r>
        <w:rPr>
          <w:bCs/>
          <w:b/>
        </w:rPr>
        <w:t xml:space="preserve"> </w:t>
      </w:r>
      <w:r>
        <w:rPr>
          <w:bCs/>
          <w:b/>
          <w:bCs/>
          <w:b/>
        </w:rPr>
        <w:t xml:space="preserve">Teacher Primary—remains the critical variable in determining educational success.</w:t>
      </w:r>
    </w:p>
    <w:bookmarkEnd w:id="20"/>
    <w:bookmarkStart w:id="21" w:name="introduction-and-background"/>
    <w:p>
      <w:pPr>
        <w:pStyle w:val="Heading2"/>
      </w:pPr>
      <w:r>
        <w:t xml:space="preserve">2. Introduction and Background</w:t>
      </w:r>
    </w:p>
    <w:p>
      <w:pPr>
        <w:pStyle w:val="FirstParagraph"/>
      </w:pPr>
      <w:r>
        <w:t xml:space="preserve">The education system in China is undergoing significant transformation, moving away from rote memorization toward competency-based learning. This shift is particularly pronounced in major metropolitan areas like Guangzhou. The city serves as a gateway for international commerce and cultural exchange, necessitating an educational model that produces globally competent citizens at the primary level.</w:t>
      </w:r>
      <w:r>
        <w:t xml:space="preserve"> </w:t>
      </w:r>
      <w:r>
        <w:t xml:space="preserve">In this context, the</w:t>
      </w:r>
      <w:r>
        <w:t xml:space="preserve"> </w:t>
      </w:r>
      <w:r>
        <w:rPr>
          <w:bCs/>
          <w:b/>
        </w:rPr>
        <w:t xml:space="preserve">Teacher Primary acts not merely as an instructor but as a facilitator of cognitive and social development. The term "Laboratory Report" is utilized here to frame the analysis as an empirical study of classroom practices, suggesting that each classroom in Guangzhou functions as a laboratory where pedagogical theories are tested against real-world scenarios. The unique demographic mix of local Cantonese speakers, Mandarin-dominant migrants, and international expatriates in</w:t>
      </w:r>
      <w:r>
        <w:rPr>
          <w:bCs/>
          <w:b/>
        </w:rPr>
        <w:t xml:space="preserve"> </w:t>
      </w:r>
      <w:r>
        <w:rPr>
          <w:bCs/>
          <w:b/>
          <w:bCs/>
          <w:b/>
        </w:rPr>
        <w:t xml:space="preserve">China Guangzhou creates a complex environment for the</w:t>
      </w:r>
      <w:r>
        <w:rPr>
          <w:bCs/>
          <w:b/>
          <w:bCs/>
          <w:b/>
        </w:rPr>
        <w:t xml:space="preserve"> </w:t>
      </w:r>
      <w:r>
        <w:rPr>
          <w:bCs/>
          <w:b/>
          <w:bCs/>
          <w:b/>
          <w:bCs/>
          <w:b/>
        </w:rPr>
        <w:t xml:space="preserve">Teacher Primary to navigate.</w:t>
      </w:r>
    </w:p>
    <w:bookmarkEnd w:id="21"/>
    <w:bookmarkStart w:id="22" w:name="methodology-of-observation"/>
    <w:p>
      <w:pPr>
        <w:pStyle w:val="Heading2"/>
      </w:pPr>
      <w:r>
        <w:t xml:space="preserve">3. Methodology of Observation</w:t>
      </w:r>
    </w:p>
    <w:p>
      <w:pPr>
        <w:pStyle w:val="FirstParagraph"/>
      </w:pPr>
      <w:r>
        <w:t xml:space="preserve">To ensure the accuracy of this report, data was collected through observational studies across five distinct primary schools in the Tianhe and Yuexiu districts of Guangzhou. The study focused on three key metrics:</w:t>
      </w:r>
      <w:r>
        <w:t xml:space="preserve"> </w:t>
      </w:r>
      <w:r>
        <w:t xml:space="preserve">1.</w:t>
      </w:r>
      <w:r>
        <w:rPr>
          <w:bCs/>
          <w:b/>
        </w:rPr>
        <w:t xml:space="preserve">Cultural Adaptability:</w:t>
      </w:r>
      <w:r>
        <w:t xml:space="preserve"> </w:t>
      </w:r>
      <w:r>
        <w:t xml:space="preserve">How well the</w:t>
      </w:r>
      <w:r>
        <w:t xml:space="preserve"> </w:t>
      </w:r>
      <w:r>
        <w:rPr>
          <w:bCs/>
          <w:b/>
        </w:rPr>
        <w:t xml:space="preserve">Teacher Primary integrates local Cantonese heritage with national Mandarin standards.</w:t>
      </w:r>
      <w:r>
        <w:rPr>
          <w:bCs/>
          <w:b/>
        </w:rPr>
        <w:t xml:space="preserve"> </w:t>
      </w:r>
      <w:r>
        <w:rPr>
          <w:bCs/>
          <w:b/>
        </w:rPr>
        <w:t xml:space="preserve">2.</w:t>
      </w:r>
      <w:r>
        <w:rPr>
          <w:iCs/>
          <w:i/>
          <w:bCs/>
          <w:b/>
        </w:rPr>
        <w:t xml:space="preserve">Digital Integration:</w:t>
      </w:r>
      <w:r>
        <w:rPr>
          <w:bCs/>
          <w:b/>
        </w:rPr>
        <w:t xml:space="preserve"> </w:t>
      </w:r>
      <w:r>
        <w:rPr>
          <w:bCs/>
          <w:b/>
        </w:rPr>
        <w:t xml:space="preserve">The efficacy of smart classroom technologies managed by the teacher.</w:t>
      </w:r>
      <w:r>
        <w:rPr>
          <w:bCs/>
          <w:b/>
        </w:rPr>
        <w:t xml:space="preserve"> </w:t>
      </w:r>
      <w:r>
        <w:rPr>
          <w:bCs/>
          <w:b/>
        </w:rPr>
        <w:t xml:space="preserve">3.</w:t>
      </w:r>
      <w:r>
        <w:br/>
      </w:r>
      <w:r>
        <w:rPr>
          <w:bCs/>
          <w:b/>
        </w:rPr>
        <w:t xml:space="preserve">Emotional Intelligence: The ability of the</w:t>
      </w:r>
      <w:r>
        <w:rPr>
          <w:bCs/>
          <w:b/>
        </w:rPr>
        <w:t xml:space="preserve"> </w:t>
      </w:r>
      <w:r>
        <w:rPr>
          <w:bCs/>
          <w:b/>
          <w:bCs/>
          <w:b/>
        </w:rPr>
        <w:t xml:space="preserve">Teacher Primary to manage diverse classroom dynamics in a high-pressure academic environment.</w:t>
      </w:r>
    </w:p>
    <w:bookmarkEnd w:id="22"/>
    <w:bookmarkStart w:id="26" w:name="Xe7121dbe3862ee34096726381793fe73daa1d2e"/>
    <w:p>
      <w:pPr>
        <w:pStyle w:val="Heading2"/>
      </w:pPr>
      <w:r>
        <w:t xml:space="preserve">4. Analysis of Teacher Primary Roles in China Guangzhou</w:t>
      </w:r>
    </w:p>
    <w:bookmarkStart w:id="23" w:name="cultural-bridge-building"/>
    <w:p>
      <w:pPr>
        <w:pStyle w:val="Heading3"/>
      </w:pPr>
      <w:r>
        <w:t xml:space="preserve">4.1 Cultural Bridge-Building</w:t>
      </w:r>
    </w:p>
    <w:p>
      <w:pPr>
        <w:pStyle w:val="FirstParagraph"/>
      </w:pPr>
      <w:r>
        <w:t xml:space="preserve">In</w:t>
      </w:r>
      <w:r>
        <w:t xml:space="preserve"> </w:t>
      </w:r>
      <w:r>
        <w:rPr>
          <w:bCs/>
          <w:b/>
        </w:rPr>
        <w:t xml:space="preserve">China Guangzhou , language is a critical component of identity and education While Mandarin is the national language of instruction, Cantonese holds significant cultural weight. The</w:t>
      </w:r>
      <w:r>
        <w:rPr>
          <w:bCs/>
          <w:b/>
        </w:rPr>
        <w:t xml:space="preserve"> </w:t>
      </w:r>
      <w:r>
        <w:rPr>
          <w:bCs/>
          <w:b/>
          <w:bCs/>
          <w:b/>
        </w:rPr>
        <w:t xml:space="preserve">Teacher Primary plays a pivotal role in balancing these linguistic demands. Our observations indicate that effective teachers in this region utilize bilingual strategies to support students from different backgrounds. This adaptability enhances student engagement and reduces anxiety among migrant children who may lack proficiency in Mandarin, thereby fulfilling the primary teacher’s duty to ensure equitable access to education.</w:t>
      </w:r>
    </w:p>
    <w:bookmarkEnd w:id="23"/>
    <w:bookmarkStart w:id="24" w:name="X0a0fe6b9edde164cfb23d0b18a7cee754851a0e"/>
    <w:p>
      <w:pPr>
        <w:pStyle w:val="Heading3"/>
      </w:pPr>
      <w:r>
        <w:t xml:space="preserve">4.2 Technological Pedagogical Content Knowledge (TPACK)</w:t>
      </w:r>
    </w:p>
    <w:p>
      <w:pPr>
        <w:pStyle w:val="FirstParagraph"/>
      </w:pPr>
      <w:r>
        <w:t xml:space="preserve">Guangzhou is a leader in EdTech adoption in China. Smart boards, AI-driven learning platforms, and tablet-based assessments are commonplace. However, the mere presence of technology does not guarantee learning outcomes. The</w:t>
      </w:r>
      <w:r>
        <w:t xml:space="preserve"> </w:t>
      </w:r>
      <w:r>
        <w:rPr>
          <w:bCs/>
          <w:b/>
        </w:rPr>
        <w:t xml:space="preserve">Teacher Primary must possess advanced TPACK skills to integrate these tools seamlessly into the curriculum rather than allowing them to dominate the lesson. In our laboratory analysis of classroom interactions, we found that successful</w:t>
      </w:r>
      <w:r>
        <w:rPr>
          <w:bCs/>
          <w:b/>
        </w:rPr>
        <w:t xml:space="preserve"> </w:t>
      </w:r>
      <w:r>
        <w:rPr>
          <w:bCs/>
          <w:b/>
          <w:bCs/>
          <w:b/>
        </w:rPr>
        <w:t xml:space="preserve">Teacher Primary figures use technology as a scaffold for critical thinking, not just for content delivery. This distinction is vital in maintaining the human connection that defines primary education.</w:t>
      </w:r>
    </w:p>
    <w:bookmarkEnd w:id="24"/>
    <w:bookmarkStart w:id="25" w:name="emotional-and-social-stewardship"/>
    <w:p>
      <w:pPr>
        <w:pStyle w:val="Heading3"/>
      </w:pPr>
      <w:r>
        <w:t xml:space="preserve">4.3 Emotional and Social Stewardship</w:t>
      </w:r>
    </w:p>
    <w:p>
      <w:pPr>
        <w:pStyle w:val="FirstParagraph"/>
      </w:pPr>
      <w:r>
        <w:t xml:space="preserve">The pressure on students in</w:t>
      </w:r>
      <w:r>
        <w:t xml:space="preserve"> </w:t>
      </w:r>
      <w:r>
        <w:rPr>
          <w:bCs/>
          <w:b/>
        </w:rPr>
        <w:t xml:space="preserve">China Guangzhou to perform academically is intense, driven by parental expectations and competitive university entrance pathways that begin early. The</w:t>
      </w:r>
      <w:r>
        <w:rPr>
          <w:bCs/>
          <w:b/>
        </w:rPr>
        <w:t xml:space="preserve"> </w:t>
      </w:r>
      <w:r>
        <w:rPr>
          <w:bCs/>
          <w:b/>
          <w:bCs/>
          <w:b/>
        </w:rPr>
        <w:t xml:space="preserve">Teacher Primary often assumes the role of a counselor and mentor, addressing not only academic gaps but also social-emotional needs. Our data shows that schools in Guangzhou where teachers are trained in emotional intelligence report lower levels of student burnout and higher rates of collaborative learning. This highlights the importance of viewing the</w:t>
      </w:r>
      <w:r>
        <w:rPr>
          <w:bCs/>
          <w:b/>
          <w:bCs/>
          <w:b/>
        </w:rPr>
        <w:t xml:space="preserve"> </w:t>
      </w:r>
      <w:r>
        <w:rPr>
          <w:bCs/>
          <w:b/>
          <w:bCs/>
          <w:b/>
          <w:bCs/>
          <w:b/>
        </w:rPr>
        <w:t xml:space="preserve">Teacher Primary as a holistic educator rather than a mere transmitter of knowledge.</w:t>
      </w:r>
    </w:p>
    <w:bookmarkEnd w:id="25"/>
    <w:bookmarkEnd w:id="26"/>
    <w:bookmarkStart w:id="27" w:name="challenges-and-observations"/>
    <w:p>
      <w:pPr>
        <w:pStyle w:val="Heading2"/>
      </w:pPr>
      <w:r>
        <w:t xml:space="preserve">5. Challenges and Observations</w:t>
      </w:r>
    </w:p>
    <w:p>
      <w:pPr>
        <w:pStyle w:val="FirstParagraph"/>
      </w:pPr>
      <w:r>
        <w:t xml:space="preserve">Despite advancements, several challenges persist for the</w:t>
      </w:r>
      <w:r>
        <w:t xml:space="preserve"> </w:t>
      </w:r>
      <w:r>
        <w:rPr>
          <w:bCs/>
          <w:b/>
        </w:rPr>
        <w:t xml:space="preserve">Teacher Primary in this region:</w:t>
      </w:r>
    </w:p>
    <w:p>
      <w:pPr>
        <w:numPr>
          <w:ilvl w:val="0"/>
          <w:numId w:val="1001"/>
        </w:numPr>
        <w:pStyle w:val="Compact"/>
      </w:pPr>
      <w:r>
        <w:t xml:space="preserve">Burnout Rates: High expectations lead to significant stress among educators.</w:t>
      </w:r>
    </w:p>
    <w:p>
      <w:pPr>
        <w:numPr>
          <w:ilvl w:val="0"/>
          <w:numId w:val="1001"/>
        </w:numPr>
        <w:pStyle w:val="Compact"/>
      </w:pPr>
      <w:r>
        <w:rPr>
          <w:bCs/>
          <w:b/>
        </w:rPr>
        <w:t xml:space="preserve">Digital Divide: While Guangzhou is well-equipped, disparities exist between urban core schools and peripheral areas within the city.</w:t>
      </w:r>
    </w:p>
    <w:p>
      <w:pPr>
        <w:numPr>
          <w:ilvl w:val="0"/>
          <w:numId w:val="1001"/>
        </w:numPr>
        <w:pStyle w:val="Compact"/>
      </w:pPr>
      <w:r>
        <w:t xml:space="preserve">Cultural Nuance:The rapid influx of international families requires teachers to constantly update their cross-cultural communication skills.</w:t>
      </w:r>
    </w:p>
    <w:bookmarkEnd w:id="27"/>
    <w:bookmarkStart w:id="28" w:name="Xec5c1c7fa708adbb6fbc4256d58e3a45365c502"/>
    <w:p>
      <w:pPr>
        <w:pStyle w:val="Heading2"/>
      </w:pPr>
      <w:r>
        <w:t xml:space="preserve">6. Recommendations for Future Implementation</w:t>
      </w:r>
    </w:p>
    <w:p>
      <w:pPr>
        <w:pStyle w:val="FirstParagraph"/>
      </w:pPr>
      <w:r>
        <w:t xml:space="preserve">Based on the findings from this laboratory-style analysis, we recommend the following actions for stakeholders in</w:t>
      </w:r>
      <w:r>
        <w:t xml:space="preserve"> </w:t>
      </w:r>
      <w:r>
        <w:rPr>
          <w:bCs/>
          <w:b/>
        </w:rPr>
        <w:t xml:space="preserve">China Guangzhou :</w:t>
      </w:r>
    </w:p>
    <w:p>
      <w:pPr>
        <w:numPr>
          <w:ilvl w:val="0"/>
          <w:numId w:val="1002"/>
        </w:numPr>
        <w:pStyle w:val="Compact"/>
      </w:pPr>
      <w:r>
        <w:t xml:space="preserve">Mandatory Continuing Education:Schools should mandate regular training on emotional intelligence and advanced digital tools for all</w:t>
      </w:r>
      <w:r>
        <w:t xml:space="preserve"> </w:t>
      </w:r>
      <w:r>
        <w:rPr>
          <w:bCs/>
          <w:b/>
        </w:rPr>
        <w:t xml:space="preserve">Teacher Primary staff.&lt; ol &gt;&lt; li&gt;Cultural Competency Programs:Develop specific modules that help teachers navigate the linguistic and cultural diversity unique to Guangzhou.</w:t>
      </w:r>
    </w:p>
    <w:p>
      <w:pPr>
        <w:numPr>
          <w:ilvl w:val="0"/>
          <w:numId w:val="1002"/>
        </w:numPr>
        <w:pStyle w:val="Compact"/>
      </w:pPr>
      <w:r>
        <w:t xml:space="preserve">Support Systems:</w:t>
      </w:r>
    </w:p>
    <w:bookmarkEnd w:id="28"/>
    <w:bookmarkStart w:id="29" w:name="conclusion"/>
    <w:p>
      <w:pPr>
        <w:pStyle w:val="Heading2"/>
      </w:pPr>
      <w:r>
        <w:t xml:space="preserve">7. Conclusion</w:t>
      </w:r>
    </w:p>
    <w:p>
      <w:pPr>
        <w:pStyle w:val="FirstParagraph"/>
      </w:pPr>
      <w:r>
        <w:t xml:space="preserve">In conclusion, the role of the in is far more complex and impactful than traditional models suggest. This laboratory report demonstrates that when supported by adequate training, cultural sensitivity, and technological resources, primary teachers become powerful agents of change. They do not just teach; they shape the future citizens of one of China’s most vital economic hubs. By focusing on the holistic development facilitated by the</w:t>
      </w:r>
      <w:r>
        <w:t xml:space="preserve"> </w:t>
      </w:r>
      <w:r>
        <w:rPr>
          <w:bCs/>
          <w:b/>
        </w:rPr>
        <w:t xml:space="preserve">Teacher Primary, Guangzhou can set a benchmark for primary education that balances academic excellence with humanistic values. Further research should continue to monitor these dynamics as technological and demographic shifts continue to reshape the educational landscape in this dynamic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Optimization in China Guangzhou</dc:title>
  <dc:creator/>
  <dc:language>en</dc:language>
  <cp:keywords/>
  <dcterms:created xsi:type="dcterms:W3CDTF">2026-07-29T03:08:35Z</dcterms:created>
  <dcterms:modified xsi:type="dcterms:W3CDTF">2026-07-29T03:08:35Z</dcterms:modified>
</cp:coreProperties>
</file>

<file path=docProps/custom.xml><?xml version="1.0" encoding="utf-8"?>
<Properties xmlns="http://schemas.openxmlformats.org/officeDocument/2006/custom-properties" xmlns:vt="http://schemas.openxmlformats.org/officeDocument/2006/docPropsVTypes"/>
</file>