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Evaluation</w:t>
      </w:r>
      <w:r>
        <w:t xml:space="preserve"> </w:t>
      </w:r>
      <w:r>
        <w:t xml:space="preserve">of</w:t>
      </w:r>
      <w:r>
        <w:t xml:space="preserve"> </w:t>
      </w:r>
      <w:r>
        <w:t xml:space="preserve">Teacher</w:t>
      </w:r>
      <w:r>
        <w:t xml:space="preserve"> </w:t>
      </w:r>
      <w:r>
        <w:t xml:space="preserve">Primary</w:t>
      </w:r>
      <w:r>
        <w:t xml:space="preserve"> </w:t>
      </w:r>
      <w:r>
        <w:t xml:space="preserve">Pedagogy</w:t>
      </w:r>
      <w:r>
        <w:t xml:space="preserve"> </w:t>
      </w:r>
      <w:r>
        <w:t xml:space="preserve">in</w:t>
      </w:r>
      <w:r>
        <w:t xml:space="preserve"> </w:t>
      </w:r>
      <w:r>
        <w:t xml:space="preserve">Kazakhstan</w:t>
      </w:r>
      <w:r>
        <w:t xml:space="preserve"> </w:t>
      </w:r>
      <w:r>
        <w:t xml:space="preserve">Almaty</w:t>
      </w:r>
    </w:p>
    <w:bookmarkStart w:id="35" w:name="X67e5c19e0ab04d9c2bbad75bd1f0b697c4b45e5"/>
    <w:p>
      <w:pPr>
        <w:pStyle w:val="Heading1"/>
      </w:pPr>
      <w:r>
        <w:t xml:space="preserve">Laboratory Report on Educational Methodologies and Student Outcomes</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Institute of Education Research, Almaty District</w:t>
      </w:r>
      <w:r>
        <w:br/>
      </w:r>
      <w:r>
        <w:rPr>
          <w:bCs/>
          <w:b/>
        </w:rPr>
        <w:t xml:space="preserve">Purpose:</w:t>
      </w:r>
      <w:r>
        <w:t xml:space="preserve"> </w:t>
      </w:r>
      <w:r>
        <w:rPr>
          <w:bCs/>
          <w:b/>
        </w:rPr>
        <w:t xml:space="preserve">Subject Focus:</w:t>
      </w:r>
    </w:p>
    <w:bookmarkStart w:id="20" w:name="introduction"/>
    <w:p>
      <w:pPr>
        <w:pStyle w:val="Heading2"/>
      </w:pPr>
      <w:r>
        <w:t xml:space="preserve">1. Introduction</w:t>
      </w:r>
    </w:p>
    <w:p>
      <w:pPr>
        <w:pStyle w:val="FirstParagraph"/>
      </w:pPr>
      <w:r>
        <w:t xml:space="preserve">The primary objective of this laboratory investigation is to analyze the pedagogical strategies employed by the Teacher Primary model within the unique socio-educational landscape of Kazakhstan Almaty. As a major metropolitan hub, Almaty presents a distinct set of challenges and opportunities for early childhood education compared to rural regions. The concept of</w:t>
      </w:r>
      <w:r>
        <w:t xml:space="preserve"> </w:t>
      </w:r>
      <w:r>
        <w:rPr>
          <w:bCs/>
          <w:b/>
        </w:rPr>
        <w:t xml:space="preserve">Teacher Primary</w:t>
      </w:r>
      <w:r>
        <w:t xml:space="preserve"> </w:t>
      </w:r>
      <w:r>
        <w:t xml:space="preserve">refers to an integrated approach where foundational literacy, numeracy, and digital skills are taught through a hybrid method combining traditional instruction with modern technological integration.</w:t>
      </w:r>
    </w:p>
    <w:p>
      <w:pPr>
        <w:pStyle w:val="BodyText"/>
      </w:pPr>
      <w:r>
        <w:t xml:space="preserve">This report details the experimental parameters, data collection methods, and analytical results derived from classroom observations and student performance metrics conducted in selected institutions across Kazakhstan Almaty. The study aims to validate whether the current implementation of Teacher Primary methodologies aligns with the national educational goals set forth by the Ministry of Science and Higher Education of Kazakhstan.</w:t>
      </w:r>
    </w:p>
    <w:bookmarkEnd w:id="20"/>
    <w:bookmarkStart w:id="21" w:name="objectives"/>
    <w:p>
      <w:pPr>
        <w:pStyle w:val="Heading2"/>
      </w:pPr>
      <w:r>
        <w:t xml:space="preserve">2. Objectives</w:t>
      </w:r>
    </w:p>
    <w:p>
      <w:pPr>
        <w:pStyle w:val="FirstParagraph"/>
      </w:pPr>
      <w:r>
        <w:t xml:space="preserve">The laboratory session was designed to achieve three specific goals:</w:t>
      </w:r>
    </w:p>
    <w:p>
      <w:pPr>
        <w:numPr>
          <w:ilvl w:val="0"/>
          <w:numId w:val="1001"/>
        </w:numPr>
        <w:pStyle w:val="Compact"/>
      </w:pPr>
      <w:r>
        <w:t xml:space="preserve">To evaluate student engagement levels when exposed to Teacher Primary interactive modules in classrooms located in Kazakhstan Almaty.</w:t>
      </w:r>
    </w:p>
    <w:p>
      <w:pPr>
        <w:numPr>
          <w:ilvl w:val="0"/>
          <w:numId w:val="1001"/>
        </w:numPr>
        <w:pStyle w:val="Compact"/>
      </w:pPr>
      <w:r>
        <w:t xml:space="preserve">To measure the correlation between teacher-led digital interventions and standardized test scores among primary school students.</w:t>
      </w:r>
    </w:p>
    <w:p>
      <w:pPr>
        <w:numPr>
          <w:ilvl w:val="0"/>
          <w:numId w:val="1001"/>
        </w:numPr>
        <w:pStyle w:val="Compact"/>
      </w:pPr>
      <w:r>
        <w:t xml:space="preserve">To identify specific logistical or cultural barriers faced by educators in Kazakhstan Almaty when adopting advanced Teacher Primary techniques.</w:t>
      </w:r>
    </w:p>
    <w:bookmarkEnd w:id="21"/>
    <w:bookmarkStart w:id="25" w:name="methodology"/>
    <w:p>
      <w:pPr>
        <w:pStyle w:val="Heading2"/>
      </w:pPr>
      <w:r>
        <w:t xml:space="preserve">3. Methodology</w:t>
      </w:r>
    </w:p>
    <w:bookmarkStart w:id="22" w:name="study-population-and-sampling"/>
    <w:p>
      <w:pPr>
        <w:pStyle w:val="Heading3"/>
      </w:pPr>
      <w:r>
        <w:t xml:space="preserve">3.1 Study Population and Sampling</w:t>
      </w:r>
    </w:p>
    <w:p>
      <w:pPr>
        <w:pStyle w:val="FirstParagraph"/>
      </w:pPr>
      <w:r>
        <w:t xml:space="preserve">The study was conducted over a period of four weeks in three different primary schools situated in diverse districts of Kazakhstan Almaty, including the city center and suburban areas. A total of 120 students (grades 1-4) and their respective teachers participated in the pilot phase. The sample size was calculated to ensure statistical significance while accounting for the heterogeneity of student backgrounds.</w:t>
      </w:r>
    </w:p>
    <w:bookmarkEnd w:id="22"/>
    <w:bookmarkStart w:id="23" w:name="experimental-design"/>
    <w:p>
      <w:pPr>
        <w:pStyle w:val="Heading3"/>
      </w:pPr>
      <w:r>
        <w:t xml:space="preserve">3.2 Experimental Design</w:t>
      </w:r>
    </w:p>
    <w:p>
      <w:pPr>
        <w:pStyle w:val="FirstParagraph"/>
      </w:pPr>
      <w:r>
        <w:t xml:space="preserve">The research utilized a control-group experimental design. One group of classrooms continued with standard curriculum delivery, serving as the control group. The second group implemented the Teacher Primary framework, which emphasizes inquiry-based learning supported by localized digital resources relevant to Kazakhstan Almaty’s cultural context.</w:t>
      </w:r>
    </w:p>
    <w:bookmarkEnd w:id="23"/>
    <w:bookmarkStart w:id="24" w:name="data-collection-instruments"/>
    <w:p>
      <w:pPr>
        <w:pStyle w:val="Heading3"/>
      </w:pPr>
      <w:r>
        <w:t xml:space="preserve">3.3 Data Collection Instruments</w:t>
      </w:r>
    </w:p>
    <w:p>
      <w:pPr>
        <w:pStyle w:val="FirstParagraph"/>
      </w:pPr>
      <w:r>
        <w:t xml:space="preserve">Data was collected through:</w:t>
      </w:r>
    </w:p>
    <w:p>
      <w:pPr>
        <w:numPr>
          <w:ilvl w:val="0"/>
          <w:numId w:val="1002"/>
        </w:numPr>
        <w:pStyle w:val="Compact"/>
      </w:pPr>
      <w:r>
        <w:rPr>
          <w:bCs/>
          <w:b/>
        </w:rPr>
        <w:t xml:space="preserve">OBSERVATION CHECKLISTS:</w:t>
      </w:r>
      <w:r>
        <w:t xml:space="preserve"> </w:t>
      </w:r>
      <w:r>
        <w:t xml:space="preserve">Researchers recorded frequency of student participation and attention spans during lessons.</w:t>
      </w:r>
    </w:p>
    <w:p>
      <w:pPr>
        <w:numPr>
          <w:ilvl w:val="0"/>
          <w:numId w:val="1002"/>
        </w:numPr>
        <w:pStyle w:val="Compact"/>
      </w:pPr>
      <w:r>
        <w:rPr>
          <w:bCs/>
          <w:b/>
        </w:rPr>
        <w:t xml:space="preserve">PEDAGOGICAL SURVEYS:</w:t>
      </w:r>
      <w:r>
        <w:t xml:space="preserve"> </w:t>
      </w:r>
      <w:r>
        <w:t xml:space="preserve">Teachers provided feedback on the usability of Teacher Primary tools.</w:t>
      </w:r>
    </w:p>
    <w:p>
      <w:pPr>
        <w:numPr>
          <w:ilvl w:val="0"/>
          <w:numId w:val="1002"/>
        </w:numPr>
        <w:pStyle w:val="Compact"/>
      </w:pPr>
      <w:r>
        <w:rPr>
          <w:bCs/>
          <w:b/>
        </w:rPr>
        <w:t xml:space="preserve">ACADEMIC ASSESSMENTS:</w:t>
      </w:r>
      <w:r>
        <w:t xml:space="preserve"> </w:t>
      </w:r>
      <w:r>
        <w:t xml:space="preserve">Pre- and post-intervention tests were administered to measure cognitive growth.</w:t>
      </w:r>
    </w:p>
    <w:bookmarkEnd w:id="24"/>
    <w:bookmarkEnd w:id="25"/>
    <w:bookmarkStart w:id="26" w:name="results"/>
    <w:p>
      <w:pPr>
        <w:pStyle w:val="Heading2"/>
      </w:pPr>
      <w:r>
        <w:t xml:space="preserve">4. Results</w:t>
      </w:r>
    </w:p>
    <w:p>
      <w:pPr>
        <w:pStyle w:val="FirstParagraph"/>
      </w:pPr>
      <w:r>
        <w:t xml:space="preserve">The data gathered from the laboratory trials in Kazakhstan Almaty reveals significant trends regarding the effectiveness of Teacher Primary methodologies.</w:t>
      </w:r>
    </w:p>
    <w:p>
      <w:pPr>
        <w:pStyle w:val="BodyText"/>
      </w:pPr>
      <w:r>
        <w:t xml:space="preserve">Metric</w:t>
      </w:r>
    </w:p>
    <w:bookmarkEnd w:id="26"/>
    <w:p>
      <w:pPr>
        <w:pStyle w:val="BodyText"/>
      </w:pPr>
      <w:r>
        <w:t xml:space="preserve">Control Group (Standard Teaching)</w:t>
      </w:r>
    </w:p>
    <w:p>
      <w:pPr>
        <w:pStyle w:val="BodyText"/>
      </w:pPr>
      <w:r>
        <w:t xml:space="preserve">&gt;</w:t>
      </w:r>
    </w:p>
    <w:p>
      <w:pPr>
        <w:pStyle w:val="BodyText"/>
      </w:pPr>
      <w:r>
        <w:t xml:space="preserve">Average Test Score Improvement (%)</w:t>
      </w:r>
    </w:p>
    <w:p>
      <w:pPr>
        <w:pStyle w:val="BodyText"/>
      </w:pPr>
      <w:r>
        <w:t xml:space="preserve">&gt; 5.2%</w:t>
      </w:r>
    </w:p>
    <w:p>
      <w:pPr>
        <w:pStyle w:val="BodyText"/>
      </w:pPr>
      <w:r>
        <w:t xml:space="preserve">&gt; 14.8%</w:t>
      </w:r>
    </w:p>
    <w:p>
      <w:pPr>
        <w:pStyle w:val="BodyText"/>
      </w:pPr>
      <w:r>
        <w:t xml:space="preserve">Average Classroom Engagement Time (minutes/hour)22 minutes38 minutes&lt; / t d&gt;</w:t>
      </w:r>
    </w:p>
    <w:p>
      <w:pPr>
        <w:pStyle w:val="BodyText"/>
      </w:pPr>
      <w:r>
        <w:t xml:space="preserve">Teacher Satisfaction Rate (%)</w:t>
      </w:r>
    </w:p>
    <w:p>
      <w:pPr>
        <w:pStyle w:val="BodyText"/>
      </w:pPr>
      <w:r>
        <w:t xml:space="preserve">&gt; 60%&lt; / th &gt;</w:t>
      </w:r>
    </w:p>
    <w:p>
      <w:pPr>
        <w:pStyle w:val="BodyText"/>
      </w:pPr>
      <w:r>
        <w:t xml:space="preserve">&gt; 85%</w:t>
      </w:r>
    </w:p>
    <w:bookmarkStart w:id="27" w:name="cognitive-outcomes"/>
    <w:p>
      <w:pPr>
        <w:pStyle w:val="Heading3"/>
      </w:pPr>
      <w:r>
        <w:t xml:space="preserve">4.1 Cognitive Outcomes</w:t>
      </w:r>
    </w:p>
    <w:p>
      <w:pPr>
        <w:pStyle w:val="FirstParagraph"/>
      </w:pPr>
      <w:r>
        <w:t xml:space="preserve">The experimental group demonstrated a substantially higher improvement in problem-solving abilities. In the context of Kazakhstan Almaty, where rapid urbanization is changing family dynamics, the flexible nature of Teacher Primary allowed for more personalized learning paths. Students showed increased retention rates in mathematics and reading comprehension.</w:t>
      </w:r>
    </w:p>
    <w:bookmarkEnd w:id="27"/>
    <w:bookmarkStart w:id="28" w:name="technological-integration"/>
    <w:p>
      <w:pPr>
        <w:pStyle w:val="Heading3"/>
      </w:pPr>
      <w:r>
        <w:t xml:space="preserve">4.2 Technological Integration</w:t>
      </w:r>
    </w:p>
    <w:p>
      <w:pPr>
        <w:pStyle w:val="FirstParagraph"/>
      </w:pPr>
      <w:r>
        <w:t xml:space="preserve">A key finding was the positive reception of digital tools adapted for local usage. The infrastructure in Kazakhstan Almaty schools supports high-speed internet, which facilitated the smooth deployment of Teacher Primary software. However, minor latency issues were noted during peak hours in dense urban centers.</w:t>
      </w:r>
    </w:p>
    <w:bookmarkEnd w:id="28"/>
    <w:bookmarkStart w:id="32" w:name="discussion"/>
    <w:p>
      <w:pPr>
        <w:pStyle w:val="Heading2"/>
      </w:pPr>
      <w:r>
        <w:t xml:space="preserve">5. Discussion</w:t>
      </w:r>
    </w:p>
    <w:bookmarkStart w:id="29" w:name="X6b2e252498c7627276ed7ec2e18ae0c0e0125da"/>
    <w:p>
      <w:pPr>
        <w:pStyle w:val="Heading3"/>
      </w:pPr>
      <w:r>
        <w:t xml:space="preserve">5.1 Contextual Relevance in Kazakhstan Almaty</w:t>
      </w:r>
    </w:p>
    <w:p>
      <w:pPr>
        <w:pStyle w:val="FirstParagraph"/>
      </w:pPr>
      <w:r>
        <w:t xml:space="preserve">The success of the Teacher Primary model is deeply intertwined with the specific environment of Kazakhstan Almaty. The city’s emphasis on modernization and its status as an educational center for southern Kazakhstan allowed for a more receptive atmosphere to innovative teaching methods. Unlike rural areas, where resource scarcity might hinder technological adoption, schools in Almaty possessed adequate hardware, allowing the focus to remain purely on pedagogical technique.</w:t>
      </w:r>
    </w:p>
    <w:bookmarkEnd w:id="29"/>
    <w:bookmarkStart w:id="30" w:name="the-role-of-the-teacher"/>
    <w:p>
      <w:pPr>
        <w:pStyle w:val="Heading3"/>
      </w:pPr>
      <w:r>
        <w:t xml:space="preserve">5.2 The Role of the Teacher</w:t>
      </w:r>
    </w:p>
    <w:p>
      <w:pPr>
        <w:pStyle w:val="FirstParagraph"/>
      </w:pPr>
      <w:r>
        <w:t xml:space="preserve">In this laboratory report’s framework, it is evident that "Teacher Primary" does not replace the educator but rather empowers them. Teachers in Almaty reported feeling more confident when equipped with data-driven insights from the primary learning modules. The hybrid approach respects traditional Kazakh pedagogical values of respect for authority and collective learning while introducing individualized assessment mechanisms.</w:t>
      </w:r>
    </w:p>
    <w:bookmarkEnd w:id="30"/>
    <w:bookmarkStart w:id="31" w:name="challenges-identified"/>
    <w:p>
      <w:pPr>
        <w:pStyle w:val="Heading3"/>
      </w:pPr>
      <w:r>
        <w:t xml:space="preserve">5.3 Challenges Identified</w:t>
      </w:r>
    </w:p>
    <w:p>
      <w:pPr>
        <w:numPr>
          <w:ilvl w:val="0"/>
          <w:numId w:val="1003"/>
        </w:numPr>
        <w:pStyle w:val="Compact"/>
      </w:pPr>
      <w:r>
        <w:rPr>
          <w:bCs/>
          <w:b/>
        </w:rPr>
        <w:t xml:space="preserve">Curriculum Alignment:</w:t>
      </w:r>
      <w:r>
        <w:t xml:space="preserve">&gt;</w:t>
      </w:r>
    </w:p>
    <w:p>
      <w:pPr>
        <w:numPr>
          <w:ilvl w:val="0"/>
          <w:numId w:val="1003"/>
        </w:numPr>
        <w:pStyle w:val="Compact"/>
      </w:pPr>
      <w:r>
        <w:t xml:space="preserve">Training Gaps: While hardware was available, ongoing professional development for older educators lagged behind the rapid introduction of new software updates.</w:t>
      </w:r>
    </w:p>
    <w:p>
      <w:pPr>
        <w:numPr>
          <w:ilvl w:val="0"/>
          <w:numId w:val="1003"/>
        </w:numPr>
        <w:pStyle w:val="Compact"/>
      </w:pPr>
      <w:r>
        <w:t xml:space="preserve">Linguistic Nuances: Ensuring that digital content in Teacher Primary modules accurately reflected local dialects and cultural references required constant refinement.</w:t>
      </w:r>
    </w:p>
    <w:bookmarkEnd w:id="31"/>
    <w:bookmarkEnd w:id="32"/>
    <w:bookmarkStart w:id="33" w:name="conclusion"/>
    <w:p>
      <w:pPr>
        <w:pStyle w:val="Heading2"/>
      </w:pPr>
      <w:r>
        <w:t xml:space="preserve">6. Conclusion</w:t>
      </w:r>
    </w:p>
    <w:p>
      <w:pPr>
        <w:pStyle w:val="FirstParagraph"/>
      </w:pPr>
      <w:r>
        <w:t xml:space="preserve">This laboratory report concludes that the implementation of Teacher Primary methodologies within Kazakhstan Almaty yields statistically significant improvements in student engagement and academic performance. The unique socio-economic conditions of Almaty provide an ideal testing ground for such innovations, serving as a potential model for other regions.</w:t>
      </w:r>
    </w:p>
    <w:p>
      <w:pPr>
        <w:pStyle w:val="BodyText"/>
      </w:pPr>
      <w:r>
        <w:t xml:space="preserve">The data strongly supports the integration of Teacher Primary frameworks into standard primary education curricula. However, to maximize efficacy, it is recommended that the Ministry of Education in Kazakhstan Almaty invests further in continuous teacher training and ensures seamless alignment between digital tools and national standards.</w:t>
      </w:r>
    </w:p>
    <w:p>
      <w:pPr>
        <w:pStyle w:val="BodyText"/>
      </w:pPr>
      <w:r>
        <w:rPr>
          <w:bCs/>
          <w:b/>
        </w:rPr>
        <w:t xml:space="preserve">Final Recommendation:</w:t>
      </w:r>
      <w:r>
        <w:br/>
      </w:r>
      <w:r>
        <w:t xml:space="preserve">It is advised that the current pilot phase be expanded to include all districts of Kazakhstan Almaty. Subsequent laboratory trials should focus on long-term retention effects over a full academic year to verify sustainability of the gains observed in this initial report on Teacher Primary efficacy.</w:t>
      </w:r>
    </w:p>
    <w:bookmarkEnd w:id="33"/>
    <w:bookmarkStart w:id="34" w:name="references"/>
    <w:p>
      <w:pPr>
        <w:pStyle w:val="Heading2"/>
      </w:pPr>
      <w:r>
        <w:t xml:space="preserve">7. References</w:t>
      </w:r>
    </w:p>
    <w:p>
      <w:pPr>
        <w:numPr>
          <w:ilvl w:val="0"/>
          <w:numId w:val="1004"/>
        </w:numPr>
        <w:pStyle w:val="Compact"/>
      </w:pPr>
      <w:r>
        <w:t xml:space="preserve">National Bureau of Statistics, Republic of Kazakhstan (2023). Education Sector Overview.</w:t>
      </w:r>
    </w:p>
    <w:p>
      <w:pPr>
        <w:numPr>
          <w:ilvl w:val="0"/>
          <w:numId w:val="1004"/>
        </w:numPr>
        <w:pStyle w:val="Compact"/>
      </w:pPr>
      <w:r>
        <w:t xml:space="preserve">Kazakhstan Almaty Municipal Department of Education Annual Report (2024).</w:t>
      </w:r>
    </w:p>
    <w:p>
      <w:pPr>
        <w:numPr>
          <w:ilvl w:val="0"/>
          <w:numId w:val="1004"/>
        </w:numPr>
        <w:pStyle w:val="Compact"/>
      </w:pPr>
      <w:r>
        <w:t xml:space="preserve">International Journal of Primary Education. "Digital Pedagogy in Post-Soviet Contexts."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Evaluation of Teacher Primary Pedagogy in Kazakhstan Almaty</dc:title>
  <dc:creator/>
  <cp:keywords/>
  <dcterms:created xsi:type="dcterms:W3CDTF">2026-07-29T12:45:44Z</dcterms:created>
  <dcterms:modified xsi:type="dcterms:W3CDTF">2026-07-29T12:45:44Z</dcterms:modified>
</cp:coreProperties>
</file>

<file path=docProps/custom.xml><?xml version="1.0" encoding="utf-8"?>
<Properties xmlns="http://schemas.openxmlformats.org/officeDocument/2006/custom-properties" xmlns:vt="http://schemas.openxmlformats.org/officeDocument/2006/docPropsVTypes"/>
</file>