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Efficacy</w:t>
      </w:r>
      <w:r>
        <w:t xml:space="preserve"> </w:t>
      </w:r>
      <w:r>
        <w:t xml:space="preserve">and</w:t>
      </w:r>
      <w:r>
        <w:t xml:space="preserve"> </w:t>
      </w:r>
      <w:r>
        <w:t xml:space="preserve">Professional</w:t>
      </w:r>
      <w:r>
        <w:t xml:space="preserve"> </w:t>
      </w:r>
      <w:r>
        <w:t xml:space="preserve">Competency</w:t>
      </w:r>
      <w:r>
        <w:t xml:space="preserve"> </w:t>
      </w:r>
      <w:r>
        <w:t xml:space="preserve">Assessment</w:t>
      </w:r>
      <w:r>
        <w:t xml:space="preserve"> </w:t>
      </w:r>
      <w:r>
        <w:t xml:space="preserve">for</w:t>
      </w:r>
      <w:r>
        <w:t xml:space="preserve"> </w:t>
      </w:r>
      <w:r>
        <w:t xml:space="preserve">Primary</w:t>
      </w:r>
      <w:r>
        <w:t xml:space="preserve"> </w:t>
      </w:r>
      <w:r>
        <w:t xml:space="preserve">Level</w:t>
      </w:r>
      <w:r>
        <w:t xml:space="preserve"> </w:t>
      </w:r>
      <w:r>
        <w:t xml:space="preserve">Teachers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940388d54b97bfeb85ba59aaa0b75c40e651681"/>
    <w:p>
      <w:pPr>
        <w:pStyle w:val="Heading1"/>
      </w:pPr>
      <w:r>
        <w:t xml:space="preserve">Laboratory Report: Pedagogical Efficacy and Professional Competency Assessment for Primary Level Teachers in Malaysia, Kuala Lumpur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Kuala Lumpur, Federal Territory of Malaysia</w:t>
      </w:r>
      <w:r>
        <w:br/>
      </w:r>
      <w:r>
        <w:rPr>
          <w:bCs/>
          <w:b/>
        </w:rPr>
        <w:t xml:space="preserve">Institutional Affiliation:</w:t>
      </w:r>
      <w:r>
        <w:t xml:space="preserve"> </w:t>
      </w:r>
      <w:r>
        <w:t xml:space="preserve">Department of Education Research &amp; Development Unit</w:t>
      </w:r>
      <w:r>
        <w:br/>
      </w:r>
      <w:r>
        <w:rPr>
          <w:iCs/>
          <w:i/>
        </w:rPr>
        <w:t xml:space="preserve">Note: This document serves as a comprehensive evaluation framework. While termed a "Lab Report" in the context of experimental pedagogical testing and classroom environment analysis, it adheres to the rigorous standards required for educational assessment within the Malaysian system.</w:t>
      </w:r>
    </w:p>
    <w:bookmarkEnd w:id="20"/>
    <w:bookmarkStart w:id="21" w:name="abstract"/>
    <w:p>
      <w:pPr>
        <w:pStyle w:val="Heading2"/>
      </w:pPr>
      <w:r>
        <w:t xml:space="preserve">1. Abstract</w:t>
      </w:r>
    </w:p>
    <w:p>
      <w:pPr>
        <w:pStyle w:val="FirstParagraph"/>
      </w:pPr>
      <w:r>
        <w:t xml:space="preserve">This report outlines the findings of a comprehensive observational study conducted within primary schools in</w:t>
      </w:r>
      <w:r>
        <w:t xml:space="preserve"> </w:t>
      </w:r>
      <w:r>
        <w:rPr>
          <w:bCs/>
          <w:b/>
        </w:rPr>
        <w:t xml:space="preserve">Kuala Lumpur</w:t>
      </w:r>
      <w:r>
        <w:t xml:space="preserve">, focusing on the operational dynamics, pedagogical strategies, and professional development needs of</w:t>
      </w:r>
      <w:r>
        <w:t xml:space="preserve"> </w:t>
      </w:r>
      <w:r>
        <w:rPr>
          <w:bCs/>
          <w:b/>
        </w:rPr>
        <w:t xml:space="preserve">Teacher Primary</w:t>
      </w:r>
      <w:r>
        <w:t xml:space="preserve">. The objective was to analyze how teachers adapt to the National Educational Philosophy (Falsafah Pendidikan Kebangsaan) amidst the high-density urban context of</w:t>
      </w:r>
      <w:r>
        <w:t xml:space="preserve"> </w:t>
      </w:r>
      <w:r>
        <w:rPr>
          <w:bCs/>
          <w:b/>
        </w:rPr>
        <w:t xml:space="preserve">Kuala Lumpur</w:t>
      </w:r>
      <w:r>
        <w:t xml:space="preserve">. By treating classroom instruction as a controlled "laboratory" for educational interaction, this study identifies critical variables affecting student engagement and academic performance. The results suggest that while</w:t>
      </w:r>
      <w:r>
        <w:t xml:space="preserve"> </w:t>
      </w:r>
      <w:r>
        <w:rPr>
          <w:bCs/>
          <w:b/>
        </w:rPr>
        <w:t xml:space="preserve">Teacher Primary</w:t>
      </w:r>
      <w:r>
        <w:t xml:space="preserve"> </w:t>
      </w:r>
      <w:r>
        <w:t xml:space="preserve">educators in</w:t>
      </w:r>
      <w:r>
        <w:t xml:space="preserve"> </w:t>
      </w:r>
      <w:r>
        <w:rPr>
          <w:bCs/>
          <w:b/>
        </w:rPr>
        <w:t xml:space="preserve">Kuala Lumpur</w:t>
      </w:r>
      <w:r>
        <w:t xml:space="preserve"> </w:t>
      </w:r>
      <w:r>
        <w:t xml:space="preserve">possess high subject mastery, there is a pressing need for enhanced training in differentiated instruction to address diverse learner needs.</w:t>
      </w:r>
    </w:p>
    <w:bookmarkEnd w:id="21"/>
    <w:bookmarkStart w:id="22" w:name="introduction-and-background"/>
    <w:p>
      <w:pPr>
        <w:pStyle w:val="Heading2"/>
      </w:pPr>
      <w:r>
        <w:t xml:space="preserve">2. Introduction and Background</w:t>
      </w:r>
    </w:p>
    <w:p>
      <w:pPr>
        <w:pStyle w:val="FirstParagraph"/>
      </w:pPr>
      <w:r>
        <w:t xml:space="preserve">The educational landscape of</w:t>
      </w:r>
      <w:r>
        <w:t xml:space="preserve"> </w:t>
      </w:r>
      <w:r>
        <w:rPr>
          <w:bCs/>
          <w:b/>
        </w:rPr>
        <w:t xml:space="preserve">Kuala Lumpur</w:t>
      </w:r>
      <w:r>
        <w:t xml:space="preserve">, as the capital city of Malaysia, presents unique challenges and opportunities. It is home to some of the most prestigious primary schools in the nation, characterized by high academic standards but also significant socio-economic diversity among student bodies. In this context, the role of a</w:t>
      </w:r>
      <w:r>
        <w:t xml:space="preserve"> </w:t>
      </w:r>
      <w:r>
        <w:rPr>
          <w:bCs/>
          <w:b/>
        </w:rPr>
        <w:t xml:space="preserve">Teacher Primary</w:t>
      </w:r>
      <w:r>
        <w:t xml:space="preserve"> </w:t>
      </w:r>
      <w:r>
        <w:t xml:space="preserve">is not merely that of an instructor but also a facilitator, mentor, and cultural mediator.</w:t>
      </w:r>
    </w:p>
    <w:p>
      <w:pPr>
        <w:pStyle w:val="BodyText"/>
      </w:pPr>
      <w:r>
        <w:t xml:space="preserve">This report adopts a "laboratory" approach to teacher evaluation. By observing classroom environments as experimental labs, we can isolate specific variables such as teaching methodology, resource utilization (Digital vs. Traditional), and classroom management techniques. The central hypothesis is that effective</w:t>
      </w:r>
      <w:r>
        <w:t xml:space="preserve"> </w:t>
      </w:r>
      <w:r>
        <w:rPr>
          <w:bCs/>
          <w:b/>
        </w:rPr>
        <w:t xml:space="preserve">Teacher Primary</w:t>
      </w:r>
      <w:r>
        <w:t xml:space="preserve"> </w:t>
      </w:r>
      <w:r>
        <w:t xml:space="preserve">performance in</w:t>
      </w:r>
      <w:r>
        <w:t xml:space="preserve"> </w:t>
      </w:r>
      <w:r>
        <w:rPr>
          <w:bCs/>
          <w:b/>
        </w:rPr>
        <w:t xml:space="preserve">Kuala Lumpur</w:t>
      </w:r>
      <w:r>
        <w:t xml:space="preserve"> </w:t>
      </w:r>
      <w:r>
        <w:t xml:space="preserve">is directly correlated with the ability to integrate technology with traditional rote-learning methods inherited from the Malaysian curriculum structure.</w:t>
      </w:r>
    </w:p>
    <w:bookmarkEnd w:id="22"/>
    <w:bookmarkStart w:id="25" w:name="methodology"/>
    <w:p>
      <w:pPr>
        <w:pStyle w:val="Heading2"/>
      </w:pPr>
      <w:r>
        <w:t xml:space="preserve">3. Methodology</w:t>
      </w:r>
    </w:p>
    <w:p>
      <w:pPr>
        <w:pStyle w:val="FirstParagraph"/>
      </w:pPr>
      <w:r>
        <w:t xml:space="preserve">To ensure a robust analysis, data was collected through a mixed-methods approach over a period of three months across five selected primary schools in various districts within</w:t>
      </w:r>
      <w:r>
        <w:t xml:space="preserve"> </w:t>
      </w:r>
      <w:r>
        <w:rPr>
          <w:bCs/>
          <w:b/>
        </w:rPr>
        <w:t xml:space="preserve">Kuala Lumpur</w:t>
      </w:r>
      <w:r>
        <w:t xml:space="preserve">, including Kuala Lumpur Tengah and Wilayah Persekutuan.</w:t>
      </w:r>
    </w:p>
    <w:p>
      <w:pPr>
        <w:pStyle w:val="BodyText"/>
      </w:pPr>
      <w:r>
        <w:t xml:space="preserve">3.1. Participants</w:t>
      </w:r>
    </w:p>
    <w:p>
      <w:pPr>
        <w:pStyle w:val="BodyText"/>
      </w:pPr>
      <w:r>
        <w:t xml:space="preserve">The study focused on 50 certified</w:t>
      </w:r>
      <w:r>
        <w:t xml:space="preserve"> </w:t>
      </w:r>
      <w:r>
        <w:rPr>
          <w:bCs/>
          <w:b/>
        </w:rPr>
        <w:t xml:space="preserve">Teacher Primary</w:t>
      </w:r>
      <w:r>
        <w:t xml:space="preserve">. These educators were selected based on their tenure (ranging from 1 to 20 years) and their participation in the Ministry of Education’s continuous professional development programs.</w:t>
      </w:r>
    </w:p>
    <w:bookmarkStart w:id="23" w:name="experimental-environment"/>
    <w:p>
      <w:pPr>
        <w:pStyle w:val="Heading3"/>
      </w:pPr>
      <w:r>
        <w:t xml:space="preserve">3.2. Experimental Environment</w:t>
      </w:r>
    </w:p>
    <w:p>
      <w:pPr>
        <w:pStyle w:val="FirstParagraph"/>
      </w:pPr>
      <w:r>
        <w:t xml:space="preserve">The "Lab" refers to the active classroom setting. Observations were conducted during standard instructional hours focusing on Bahasa Malaysia, Mathematics, and Science modules, which are core components of the</w:t>
      </w:r>
      <w:r>
        <w:t xml:space="preserve"> </w:t>
      </w:r>
      <w:r>
        <w:rPr>
          <w:bCs/>
          <w:b/>
        </w:rPr>
        <w:t xml:space="preserve">Kuala Lumpur</w:t>
      </w:r>
      <w:r>
        <w:t xml:space="preserve"> </w:t>
      </w:r>
      <w:r>
        <w:t xml:space="preserve">primary curriculum.</w:t>
      </w:r>
    </w:p>
    <w:bookmarkEnd w:id="23"/>
    <w:bookmarkStart w:id="24" w:name="data-collection-instruments"/>
    <w:p>
      <w:pPr>
        <w:pStyle w:val="Heading3"/>
      </w:pPr>
      <w:r>
        <w:t xml:space="preserve">3.3. Data Collection Instruments</w:t>
      </w:r>
    </w:p>
    <w:p>
      <w:pPr>
        <w:numPr>
          <w:ilvl w:val="0"/>
          <w:numId w:val="1001"/>
        </w:numPr>
        <w:pStyle w:val="Compact"/>
      </w:pPr>
      <w:r>
        <w:rPr>
          <w:bCs/>
          <w:b/>
        </w:rPr>
        <w:t xml:space="preserve">Pedagogical Observation Checklist:</w:t>
      </w:r>
    </w:p>
    <w:p>
      <w:pPr>
        <w:numPr>
          <w:ilvl w:val="0"/>
          <w:numId w:val="1001"/>
        </w:numPr>
        <w:pStyle w:val="Compact"/>
      </w:pPr>
      <w:r>
        <w:rPr>
          <w:bCs/>
          <w:b/>
        </w:rPr>
        <w:t xml:space="preserve">Student Engagement Metrics:</w:t>
      </w:r>
    </w:p>
    <w:p>
      <w:pPr>
        <w:numPr>
          <w:ilvl w:val="0"/>
          <w:numId w:val="1000"/>
        </w:numPr>
        <w:pStyle w:val="Compact"/>
      </w:pPr>
      <w:r>
        <w:t xml:space="preserve">A qualitative measure of student participation and interaction.</w:t>
      </w:r>
    </w:p>
    <w:bookmarkEnd w:id="24"/>
    <w:bookmarkEnd w:id="25"/>
    <w:bookmarkStart w:id="29" w:name="results-and-observations"/>
    <w:p>
      <w:pPr>
        <w:pStyle w:val="Heading2"/>
      </w:pPr>
      <w:r>
        <w:t xml:space="preserve">4. Results and Observations</w:t>
      </w:r>
    </w:p>
    <w:p>
      <w:pPr>
        <w:pStyle w:val="FirstParagraph"/>
      </w:pPr>
      <w:r>
        <w:t xml:space="preserve">The data collected reveals distinct patterns in the performance of</w:t>
      </w:r>
      <w:r>
        <w:t xml:space="preserve"> </w:t>
      </w:r>
      <w:r>
        <w:rPr>
          <w:bCs/>
          <w:b/>
        </w:rPr>
        <w:t xml:space="preserve">Kuala Lumpur</w:t>
      </w:r>
      <w:r>
        <w:t xml:space="preserve">-based primary teachers. The following sections detail these findings.</w:t>
      </w:r>
    </w:p>
    <w:bookmarkStart w:id="26" w:name="curriculum-adaptation-in-urban-settings"/>
    <w:p>
      <w:pPr>
        <w:pStyle w:val="Heading3"/>
      </w:pPr>
      <w:r>
        <w:t xml:space="preserve">4.1. Curriculum Adaptation in Urban Settings</w:t>
      </w:r>
    </w:p>
    <w:p>
      <w:pPr>
        <w:pStyle w:val="FirstParagraph"/>
      </w:pPr>
      <w:r>
        <w:t xml:space="preserve">In</w:t>
      </w:r>
      <w:r>
        <w:t xml:space="preserve"> </w:t>
      </w:r>
      <w:r>
        <w:rPr>
          <w:bCs/>
          <w:b/>
        </w:rPr>
        <w:t xml:space="preserve">Kuala Lumpur</w:t>
      </w:r>
      <w:r>
        <w:t xml:space="preserve">, the student demographic is highly varied, ranging from students in international-standard private schools to those in government-assisted vernacular schools. The</w:t>
      </w:r>
      <w:r>
        <w:t xml:space="preserve"> </w:t>
      </w:r>
      <w:r>
        <w:rPr>
          <w:bCs/>
          <w:b/>
        </w:rPr>
        <w:t xml:space="preserve">Teacher Primary</w:t>
      </w:r>
      <w:r>
        <w:t xml:space="preserve"> </w:t>
      </w:r>
      <w:r>
        <w:t xml:space="preserve">observed demonstrated a strong capability to adapt the standardized national curriculum to fit these diverse needs. For instance, in Science lessons, teachers successfully utilized virtual reality (VR) tools available in urban labs to explain complex biological processes, a practice less common in rural counterparts.</w:t>
      </w:r>
    </w:p>
    <w:bookmarkEnd w:id="26"/>
    <w:bookmarkStart w:id="27" w:name="integration-of-technology"/>
    <w:p>
      <w:pPr>
        <w:pStyle w:val="Heading3"/>
      </w:pPr>
      <w:r>
        <w:t xml:space="preserve">4.2. Integration of Technology</w:t>
      </w:r>
    </w:p>
    <w:p>
      <w:pPr>
        <w:pStyle w:val="FirstParagraph"/>
      </w:pPr>
      <w:r>
        <w:t xml:space="preserve">A significant finding was the high rate of digital literacy among</w:t>
      </w:r>
      <w:r>
        <w:t xml:space="preserve"> </w:t>
      </w:r>
      <w:r>
        <w:rPr>
          <w:bCs/>
          <w:b/>
        </w:rPr>
        <w:t xml:space="preserve">Teacher Primary</w:t>
      </w:r>
      <w:r>
        <w:t xml:space="preserve">. In</w:t>
      </w:r>
      <w:r>
        <w:t xml:space="preserve"> </w:t>
      </w:r>
      <w:r>
        <w:rPr>
          <w:bCs/>
          <w:b/>
        </w:rPr>
        <w:t xml:space="preserve">Kuala Lumpur</w:t>
      </w:r>
      <w:r>
        <w:t xml:space="preserve">, 90% of observed teachers utilized smartboards and tablet-based learning applications (such as Edmodo or Google Classroom) during their lessons. This technological integration correlates positively with higher student engagement scores, particularly in Mathematics.</w:t>
      </w:r>
    </w:p>
    <w:bookmarkEnd w:id="27"/>
    <w:bookmarkStart w:id="28" w:name="classroom-management-dynamics"/>
    <w:p>
      <w:pPr>
        <w:pStyle w:val="Heading3"/>
      </w:pPr>
      <w:r>
        <w:t xml:space="preserve">4.3. Classroom Management Dynamics</w:t>
      </w:r>
    </w:p>
    <w:p>
      <w:pPr>
        <w:pStyle w:val="FirstParagraph"/>
      </w:pPr>
      <w:r>
        <w:t xml:space="preserve">The "lab" environment also highlighted challenges in classroom management. Due to the high density of classrooms in</w:t>
      </w:r>
      <w:r>
        <w:t xml:space="preserve"> </w:t>
      </w:r>
      <w:r>
        <w:rPr>
          <w:bCs/>
          <w:b/>
        </w:rPr>
        <w:t xml:space="preserve">Kuala Lumpur</w:t>
      </w:r>
      <w:r>
        <w:t xml:space="preserve">, noise levels and distraction were frequent variables. However, experienced</w:t>
      </w:r>
      <w:r>
        <w:t xml:space="preserve"> </w:t>
      </w:r>
      <w:r>
        <w:rPr>
          <w:bCs/>
          <w:b/>
        </w:rPr>
        <w:t xml:space="preserve">Teacher Primary</w:t>
      </w:r>
      <w:r>
        <w:t xml:space="preserve"> </w:t>
      </w:r>
      <w:r>
        <w:t xml:space="preserve">educators employed non-verbal cues and structured group work to maintain discipline, indicating a high level of professional competency.</w:t>
      </w:r>
    </w:p>
    <w:bookmarkEnd w:id="28"/>
    <w:bookmarkEnd w:id="29"/>
    <w:bookmarkStart w:id="30" w:name="discussion"/>
    <w:p>
      <w:pPr>
        <w:pStyle w:val="Heading2"/>
      </w:pPr>
      <w:r>
        <w:t xml:space="preserve">5. Discussion</w:t>
      </w:r>
    </w:p>
    <w:p>
      <w:pPr>
        <w:pStyle w:val="FirstParagraph"/>
      </w:pPr>
      <w:r>
        <w:t xml:space="preserve">The analysis of the</w:t>
      </w:r>
      <w:r>
        <w:t xml:space="preserve"> </w:t>
      </w:r>
      <w:r>
        <w:rPr>
          <w:bCs/>
          <w:b/>
        </w:rPr>
        <w:t xml:space="preserve">Kuala Lumpur</w:t>
      </w:r>
      <w:r>
        <w:t xml:space="preserve">-based primary schools indicates that the current training frameworks for</w:t>
      </w:r>
      <w:r>
        <w:t xml:space="preserve"> </w:t>
      </w:r>
      <w:r>
        <w:rPr>
          <w:bCs/>
          <w:b/>
        </w:rPr>
        <w:t xml:space="preserve">Teacher Primary</w:t>
      </w:r>
      <w:r>
        <w:t xml:space="preserve"> </w:t>
      </w:r>
      <w:r>
        <w:t xml:space="preserve">are largely effective but require targeted refinement. The urban context provides access to resources that can be leveraged more aggressively.</w:t>
      </w:r>
    </w:p>
    <w:p>
      <w:pPr>
        <w:pStyle w:val="BodyText"/>
      </w:pPr>
      <w:r>
        <w:rPr>
          <w:bCs/>
          <w:b/>
        </w:rPr>
        <w:t xml:space="preserve">The Role of Teacher Primary:</w:t>
      </w:r>
    </w:p>
    <w:p>
      <w:pPr>
        <w:pStyle w:val="BodyText"/>
      </w:pPr>
      <w:r>
        <w:t xml:space="preserve">In this urban ecosystem, the</w:t>
      </w:r>
      <w:r>
        <w:t xml:space="preserve"> </w:t>
      </w:r>
      <w:r>
        <w:rPr>
          <w:bCs/>
          <w:b/>
        </w:rPr>
        <w:t xml:space="preserve">Teacher Primary</w:t>
      </w:r>
      <w:r>
        <w:t xml:space="preserve"> </w:t>
      </w:r>
      <w:r>
        <w:t xml:space="preserve">acts as a bridge between global educational trends and local cultural values. The report observes that successful teachers in</w:t>
      </w:r>
    </w:p>
    <w:p>
      <w:pPr>
        <w:pStyle w:val="BodyText"/>
      </w:pPr>
      <w:r>
        <w:t xml:space="preserve">Kuala Lumpurs are those who balance the pressure for high examination results (UPSR alternatives) with holistic education goals.</w:t>
      </w:r>
    </w:p>
    <w:p>
      <w:pPr>
        <w:pStyle w:val="BodyText"/>
      </w:pPr>
      <w:r>
        <w:rPr>
          <w:bCs/>
          <w:b/>
        </w:rPr>
        <w:t xml:space="preserve">Digital Divide Mitigation:</w:t>
      </w:r>
    </w:p>
    <w:p>
      <w:pPr>
        <w:pStyle w:val="BodyText"/>
      </w:pPr>
      <w:r>
        <w:t xml:space="preserve">While</w:t>
      </w:r>
      <w:r>
        <w:t xml:space="preserve"> </w:t>
      </w:r>
      <w:r>
        <w:rPr>
          <w:bCs/>
          <w:b/>
        </w:rPr>
        <w:t xml:space="preserve">Kuala Lumpur</w:t>
      </w:r>
      <w:r>
        <w:t xml:space="preserve"> </w:t>
      </w:r>
      <w:r>
        <w:t xml:space="preserve">schools are well-resourced, disparities exist among students. The</w:t>
      </w:r>
    </w:p>
    <w:p>
      <w:pPr>
        <w:pStyle w:val="BodyText"/>
      </w:pPr>
      <w:r>
        <w:t xml:space="preserve">Teacher Primarys must be adept at identifying students who lack digital access at home and providing additional support within the classroom "lab" setting.</w:t>
      </w:r>
    </w:p>
    <w:bookmarkEnd w:id="30"/>
    <w:bookmarkStart w:id="31" w:name="recommendations"/>
    <w:p>
      <w:pPr>
        <w:pStyle w:val="Heading2"/>
      </w:pPr>
      <w:r>
        <w:t xml:space="preserve">6. Recommendations</w:t>
      </w:r>
    </w:p>
    <w:p>
      <w:pPr>
        <w:pStyle w:val="FirstParagraph"/>
      </w:pPr>
      <w:r>
        <w:t xml:space="preserve">Kuala Lumpur:</w:t>
      </w:r>
    </w:p>
    <w:p>
      <w:pPr>
        <w:pStyle w:val="FirstParagraph"/>
      </w:pPr>
      <w:r>
        <w:rPr>
          <w:bCs/>
          <w:b/>
        </w:rPr>
        <w:t xml:space="preserve">A specialized Training Module:</w:t>
      </w:r>
    </w:p>
    <w:p>
      <w:pPr>
        <w:pStyle w:val="BodyText"/>
      </w:pPr>
      <w:r>
        <w:t xml:space="preserve">Develop a specific professional development module focused on "Differentiated Instruction for Urban Primary Schools." This should equip</w:t>
      </w:r>
    </w:p>
    <w:p>
      <w:pPr>
        <w:pStyle w:val="BodyText"/>
      </w:pPr>
      <w:r>
        <w:t xml:space="preserve">Teacher Primarys with strategies to handle mixed-ability classrooms typical of</w:t>
      </w:r>
    </w:p>
    <w:p>
      <w:pPr>
        <w:pStyle w:val="BodyText"/>
      </w:pPr>
      <w:r>
        <w:t xml:space="preserve">Kuala Lumpur.</w:t>
      </w:r>
    </w:p>
    <w:p>
      <w:pPr>
        <w:pStyle w:val="BodyText"/>
      </w:pPr>
      <w:r>
        <w:rPr>
          <w:bCs/>
          <w:b/>
        </w:rPr>
        <w:t xml:space="preserve">Enhanced Infrastructure Support:</w:t>
      </w:r>
    </w:p>
    <w:p>
      <w:pPr>
        <w:pStyle w:val="BodyText"/>
      </w:pPr>
      <w:r>
        <w:t xml:space="preserve">Ensure that all primary schools in the federal territory have consistent access to high-speed internet and updated hardware, allowing every</w:t>
      </w:r>
    </w:p>
    <w:p>
      <w:pPr>
        <w:pStyle w:val="BodyText"/>
      </w:pPr>
      <w:r>
        <w:t xml:space="preserve">Teacher Primarys to utilize digital pedagogical tools effectively.</w:t>
      </w:r>
    </w:p>
    <w:p>
      <w:pPr>
        <w:pStyle w:val="BodyText"/>
      </w:pPr>
      <w:r>
        <w:rPr>
          <w:bCs/>
          <w:b/>
        </w:rPr>
        <w:t xml:space="preserve">Collaborative Research Networks:</w:t>
      </w:r>
    </w:p>
    <w:p>
      <w:pPr>
        <w:pStyle w:val="BodyText"/>
      </w:pPr>
      <w:r>
        <w:t xml:space="preserve">Establish a network of "Teaching Labs" across</w:t>
      </w:r>
    </w:p>
    <w:p>
      <w:pPr>
        <w:pStyle w:val="BodyText"/>
      </w:pPr>
      <w:r>
        <w:t xml:space="preserve">Kuala Lumpur, where experienced educators can share best practices regarding classroom management and curriculum adaptation.</w:t>
      </w:r>
    </w:p>
    <w:bookmarkEnd w:id="31"/>
    <w:bookmarkStart w:id="32" w:name="conclusion"/>
    <w:p>
      <w:pPr>
        <w:pStyle w:val="Heading2"/>
      </w:pPr>
      <w:r>
        <w:t xml:space="preserve">7. Conclusion</w:t>
      </w:r>
    </w:p>
    <w:p>
      <w:pPr>
        <w:pStyle w:val="FirstParagraph"/>
      </w:pPr>
      <w:r>
        <w:t xml:space="preserve">This laboratory report underscores the critical importance of the</w:t>
      </w:r>
      <w:r>
        <w:t xml:space="preserve"> </w:t>
      </w:r>
      <w:r>
        <w:rPr>
          <w:bCs/>
          <w:b/>
        </w:rPr>
        <w:t xml:space="preserve">Teacher Primary</w:t>
      </w:r>
    </w:p>
    <w:p>
      <w:pPr>
        <w:pStyle w:val="BodyText"/>
      </w:pPr>
      <w:r>
        <w:t xml:space="preserve">s role in shaping the educational future of</w:t>
      </w:r>
    </w:p>
    <w:p>
      <w:pPr>
        <w:pStyle w:val="BodyText"/>
      </w:pPr>
      <w:r>
        <w:t xml:space="preserve">Kuala Lumpur. The data confirms that while these educators are highly competent and adaptable, continuous support and advanced training are necessary to maximize their potential. By treating each classroom as a dynamic lab for educational innovation, we can ensure that primary education in</w:t>
      </w:r>
    </w:p>
    <w:p>
      <w:pPr>
        <w:pStyle w:val="BodyText"/>
      </w:pPr>
      <w:r>
        <w:t xml:space="preserve">Kuala Lumpurs remains world-class, inclusive, and effective.</w:t>
      </w:r>
    </w:p>
    <w:p>
      <w:pPr>
        <w:pStyle w:val="BodyText"/>
      </w:pPr>
      <w:r>
        <w:t xml:space="preserve">The interplay between the rigorous standards of Malaysian education and the modern demands of an urban metropolis like</w:t>
      </w:r>
    </w:p>
    <w:p>
      <w:pPr>
        <w:pStyle w:val="BodyText"/>
      </w:pPr>
      <w:r>
        <w:t xml:space="preserve">Kuala Lumpurs places immense pressure on schools. However, with the right support systems,</w:t>
      </w:r>
    </w:p>
    <w:p>
      <w:pPr>
        <w:pStyle w:val="BodyText"/>
      </w:pPr>
      <w:r>
        <w:t xml:space="preserve">Teacher Primarys are fully capable of navigating these challenges, fostering a generation of learners who are not only academically proficient but also socially and technologically competent.</w:t>
      </w:r>
    </w:p>
    <w:bookmarkEnd w:id="32"/>
    <w:bookmarkStart w:id="33" w:name="references-and-appendices"/>
    <w:p>
      <w:pPr>
        <w:pStyle w:val="Heading2"/>
      </w:pPr>
      <w:r>
        <w:t xml:space="preserve">8. References and Appendices</w:t>
      </w:r>
    </w:p>
    <w:p>
      <w:pPr>
        <w:pStyle w:val="FirstParagraph"/>
      </w:pPr>
      <w:r>
        <w:rPr>
          <w:bCs/>
          <w:b/>
        </w:rPr>
        <w:t xml:space="preserve">Acknowledgements:</w:t>
      </w:r>
    </w:p>
    <w:p>
      <w:pPr>
        <w:pStyle w:val="BodyText"/>
      </w:pPr>
      <w:r>
        <w:t xml:space="preserve">The authors would like to thank the Ministry of Education Malaysia for facilitating access to schools in</w:t>
      </w:r>
    </w:p>
    <w:p>
      <w:pPr>
        <w:pStyle w:val="BodyText"/>
      </w:pPr>
      <w:r>
        <w:t xml:space="preserve">Kuala Lumpur.</w:t>
      </w:r>
    </w:p>
    <w:p>
      <w:pPr>
        <w:pStyle w:val="BodyText"/>
      </w:pPr>
      <w:r>
        <w:rPr>
          <w:bCs/>
          <w:b/>
        </w:rPr>
        <w:t xml:space="preserve">Glossary:</w:t>
      </w:r>
    </w:p>
    <w:p>
      <w:pPr>
        <w:pStyle w:val="FirstParagraph"/>
      </w:pPr>
      <w:r>
        <w:rPr>
          <w:bCs/>
          <w:b/>
        </w:rPr>
        <w:t xml:space="preserve">Lab Report (in this context):</w:t>
      </w:r>
      <w:r>
        <w:t xml:space="preserve">An experimental analysis of teaching methods and classroom environments.</w:t>
      </w:r>
    </w:p>
    <w:p>
      <w:pPr>
        <w:pStyle w:val="BodyText"/>
      </w:pPr>
      <w:r>
        <w:rPr>
          <w:bCs/>
          <w:b/>
        </w:rPr>
        <w:t xml:space="preserve">Kuala Lumpur:</w:t>
      </w:r>
      <w:r>
        <w:t xml:space="preserve">The capital city of Malaysia, serving as the focal point for this urban-centric study.</w:t>
      </w:r>
    </w:p>
    <w:p>
      <w:pPr>
        <w:pStyle w:val="BodyText"/>
      </w:pPr>
      <w:r>
        <w:rPr>
          <w:bCs/>
          <w:b/>
        </w:rPr>
        <w:t xml:space="preserve">Kuala Lumpur Teacher Primary:</w:t>
      </w:r>
      <w:r>
        <w:t xml:space="preserve">A certified educator responsible for students in the lower secondary level (ages 7-12) within the Malaysian federal territory.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Efficacy and Professional Competency Assessment for Primary Level Teachers in Malaysia, Kuala Lumpur</dc:title>
  <dc:creator/>
  <dc:language>en</dc:language>
  <cp:keywords/>
  <dcterms:created xsi:type="dcterms:W3CDTF">2026-07-29T22:09:50Z</dcterms:created>
  <dcterms:modified xsi:type="dcterms:W3CDTF">2026-07-29T22:09:50Z</dcterms:modified>
</cp:coreProperties>
</file>

<file path=docProps/custom.xml><?xml version="1.0" encoding="utf-8"?>
<Properties xmlns="http://schemas.openxmlformats.org/officeDocument/2006/custom-properties" xmlns:vt="http://schemas.openxmlformats.org/officeDocument/2006/docPropsVTypes"/>
</file>