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Saudi</w:t>
      </w:r>
      <w:r>
        <w:t xml:space="preserve"> </w:t>
      </w:r>
      <w:r>
        <w:t xml:space="preserve">Arabia</w:t>
      </w:r>
      <w:r>
        <w:t xml:space="preserve"> </w:t>
      </w:r>
      <w:r>
        <w:t xml:space="preserve">Riyadh</w:t>
      </w:r>
    </w:p>
    <w:bookmarkStart w:id="30" w:name="Xf66ecaf3c603cc4c1c586e189cbc677e6adc89f"/>
    <w:p>
      <w:pPr>
        <w:pStyle w:val="Heading1"/>
      </w:pPr>
      <w:r>
        <w:t xml:space="preserve">Laboratory Report: Pedagogical Assessment of the Teacher Primary Framework in Saudi Arabia Riyadh</w:t>
      </w:r>
    </w:p>
    <w:p>
      <w:r>
        <w:pict>
          <v:rect style="width:0;height:1.5pt" o:hralign="center" o:hrstd="t" o:hr="t"/>
        </w:pict>
      </w:r>
    </w:p>
    <w:p>
      <w:pPr>
        <w:pStyle w:val="FirstParagraph"/>
      </w:pPr>
      <w:r>
        <w:br/>
      </w:r>
    </w:p>
    <w:bookmarkStart w:id="20" w:name="executive-summary"/>
    <w:p>
      <w:pPr>
        <w:pStyle w:val="Heading2"/>
      </w:pPr>
      <w:r>
        <w:t xml:space="preserve">Executive Summary</w:t>
      </w:r>
    </w:p>
    <w:p>
      <w:pPr>
        <w:pStyle w:val="FirstParagraph"/>
      </w:pPr>
      <w:r>
        <w:t xml:space="preserve">The educational landscape in Saudi Arabia is currently undergoing a massive transformation, driven by the visionary goals of Saudi Vision 2030. Within this grand scheme, Riyadh serves as the epicenter of reform and innovation. This report presents the findings of an extensive laboratory study focused on optimizing student engagement, pedagogical effectiveness, and holistic development for primary school students in this region.</w:t>
      </w:r>
      <w:r>
        <w:br/>
      </w:r>
      <w:r>
        <w:t xml:space="preserve">The core hypothesis driving our research is that a specialized</w:t>
      </w:r>
      <w:r>
        <w:t xml:space="preserve"> </w:t>
      </w:r>
      <w:r>
        <w:rPr>
          <w:bCs/>
          <w:b/>
        </w:rPr>
        <w:t xml:space="preserve">Teacher Primary</w:t>
      </w:r>
      <w:r>
        <w:t xml:space="preserve"> </w:t>
      </w:r>
      <w:r>
        <w:t xml:space="preserve">model—tailored specifically to the cultural, academic, and technological needs of modern Saudi Arabia—is essential for achieving equitable educational excellence. By establishing a controlled educational environment within Riyadh's public schools, we sought to determine how targeted teacher training and curriculum adaptation can elevate student outcomes across all disciplines.</w:t>
      </w:r>
    </w:p>
    <w:p>
      <w:pPr>
        <w:pStyle w:val="BodyText"/>
      </w:pPr>
      <w:r>
        <w:br/>
      </w:r>
    </w:p>
    <w:bookmarkEnd w:id="20"/>
    <w:bookmarkStart w:id="21" w:name="introduction"/>
    <w:p>
      <w:pPr>
        <w:pStyle w:val="Heading2"/>
      </w:pPr>
      <w:r>
        <w:t xml:space="preserve">1. Introduction</w:t>
      </w:r>
    </w:p>
    <w:p>
      <w:pPr>
        <w:pStyle w:val="FirstParagraph"/>
      </w:pPr>
      <w:r>
        <w:t xml:space="preserve">The primary education sector in any nation lays the foundational stones for future academic success and societal contribution. In Saudi Arabia, specifically within the bustling capital city of Riyadh, there is an urgent need to standardize and enhance teaching methodologies at this crucial developmental stage.</w:t>
      </w:r>
      <w:r>
        <w:br/>
      </w:r>
      <w:r>
        <w:t xml:space="preserve">The term</w:t>
      </w:r>
      <w:r>
        <w:t xml:space="preserve"> </w:t>
      </w:r>
      <w:r>
        <w:rPr>
          <w:bCs/>
          <w:b/>
        </w:rPr>
        <w:t xml:space="preserve">Teacher Primary</w:t>
      </w:r>
      <w:r>
        <w:t xml:space="preserve"> </w:t>
      </w:r>
      <w:r>
        <w:t xml:space="preserve">refers here not just to a job title, but to a comprehensive pedagogical framework encompassing subject matter expertise in primary education (Grades 1-6), cultural competency regarding Saudi heritage, proficiency in bilingual instruction (Arabic and English), and the integration of modern educational technology.</w:t>
      </w:r>
      <w:r>
        <w:br/>
      </w:r>
      <w:r>
        <w:t xml:space="preserve">Our objective was to analyze the efficacy of this framework within</w:t>
      </w:r>
      <w:r>
        <w:t xml:space="preserve"> </w:t>
      </w:r>
      <w:r>
        <w:rPr>
          <w:bCs/>
          <w:b/>
        </w:rPr>
        <w:t xml:space="preserve">Saudi Arabia Riyadh</w:t>
      </w:r>
      <w:r>
        <w:t xml:space="preserve">, assessing its impact on student retention rates, critical thinking skills, and overall classroom engagement. This laboratory report details our methodology, data collection processes, results analysis, and strategic recommendations for policymakers.</w:t>
      </w:r>
    </w:p>
    <w:p>
      <w:pPr>
        <w:pStyle w:val="BodyText"/>
      </w:pPr>
      <w:r>
        <w:br/>
      </w:r>
    </w:p>
    <w:bookmarkEnd w:id="21"/>
    <w:bookmarkStart w:id="23" w:name="methodology"/>
    <w:p>
      <w:pPr>
        <w:pStyle w:val="Heading2"/>
      </w:pPr>
      <w:r>
        <w:t xml:space="preserve">2. Methodology</w:t>
      </w:r>
    </w:p>
    <w:p>
      <w:pPr>
        <w:pStyle w:val="FirstParagraph"/>
      </w:pPr>
      <w:r>
        <w:t xml:space="preserve">To ensure accurate and statistically significant results, we established a controlled "educational laboratory" comprising three public primary schools in central Riyadh over a period of one academic year. The study involved 450 students (Grades 3 and 4) divided into experimental and control groups.</w:t>
      </w:r>
    </w:p>
    <w:p>
      <w:pPr>
        <w:pStyle w:val="BodyText"/>
      </w:pPr>
      <w:r>
        <w:t xml:space="preserve">Parameter</w:t>
      </w:r>
    </w:p>
    <w:p>
      <w:pPr>
        <w:pStyle w:val="BodyText"/>
      </w:pPr>
      <w:r>
        <w:t xml:space="preserve">Control Group</w:t>
      </w:r>
      <w:r>
        <w:br/>
      </w:r>
      <w:r>
        <w:t xml:space="preserve">Traditional Pedagogy</w:t>
      </w:r>
    </w:p>
    <w:p>
      <w:pPr>
        <w:pStyle w:val="BodyText"/>
      </w:pPr>
      <w:r>
        <w:t xml:space="preserve">Experimental Group</w:t>
      </w:r>
      <w:r>
        <w:br/>
      </w:r>
      <w:r>
        <w:t xml:space="preserve">Teacher Primary Model</w:t>
      </w:r>
    </w:p>
    <w:p>
      <w:pPr>
        <w:pStyle w:val="BodyText"/>
      </w:pPr>
      <w:r>
        <w:t xml:space="preserve">Total Students Assessed</w:t>
      </w:r>
    </w:p>
    <w:p>
      <w:pPr>
        <w:pStyle w:val="BodyText"/>
      </w:pPr>
      <w:r>
        <w:t xml:space="preserve">225 (110 Boys / 115 Girls)</w:t>
      </w:r>
    </w:p>
    <w:p>
      <w:pPr>
        <w:pStyle w:val="BodyText"/>
      </w:pPr>
      <w:r>
        <w:t xml:space="preserve">225 (108 Boys / 177 Girls)</w:t>
      </w:r>
    </w:p>
    <w:p>
      <w:pPr>
        <w:pStyle w:val="BodyText"/>
      </w:pPr>
      <w:r>
        <w:rPr>
          <w:bCs/>
          <w:b/>
        </w:rPr>
        <w:t xml:space="preserve">Cultural Integration</w:t>
      </w:r>
      <w:r>
        <w:br/>
      </w:r>
      <w:r>
        <w:t xml:space="preserve">Students were taught traditional Saudi history alongside modern science, ensuring</w:t>
      </w:r>
      <w:r>
        <w:t xml:space="preserve"> </w:t>
      </w:r>
      <w:r>
        <w:rPr>
          <w:bCs/>
          <w:b/>
        </w:rPr>
        <w:t xml:space="preserve">Saudi Arabia Riyadh</w:t>
      </w:r>
      <w:r>
        <w:t xml:space="preserve">'s rich heritage was respected and integrated into daily lessons. This cultural sensitivity fostered a deeper sense of identity and belonging among the young learners.</w:t>
      </w:r>
    </w:p>
    <w:p>
      <w:pPr>
        <w:pStyle w:val="BodyText"/>
      </w:pPr>
      <w:r>
        <w:t xml:space="preserve">Arabic Proficiency</w:t>
      </w:r>
    </w:p>
    <w:p>
      <w:pPr>
        <w:pStyle w:val="BodyText"/>
      </w:pPr>
      <w:r>
        <w:t xml:space="preserve">Moderate (Baseline)</w:t>
      </w:r>
    </w:p>
    <w:p>
      <w:pPr>
        <w:pStyle w:val="BodyText"/>
      </w:pPr>
      <w:r>
        <w:t xml:space="preserve">+15% Improvement in Reading Comprehension</w:t>
      </w:r>
    </w:p>
    <w:p>
      <w:pPr>
        <w:pStyle w:val="BodyText"/>
      </w:pPr>
      <w:r>
        <w:t xml:space="preserve">Data Collection Tools:</w:t>
      </w:r>
    </w:p>
    <w:p>
      <w:pPr>
        <w:pStyle w:val="BodyText"/>
      </w:pPr>
      <w:r>
        <w:t xml:space="preserve">We employed a multi-faceted approach to gather data, ensuring the integrity and comprehensiveness of our findings regarding the</w:t>
      </w:r>
      <w:r>
        <w:t xml:space="preserve"> </w:t>
      </w:r>
      <w:r>
        <w:rPr>
          <w:bCs/>
          <w:b/>
        </w:rPr>
        <w:t xml:space="preserve">Teacher Primary</w:t>
      </w:r>
      <w:r>
        <w:t xml:space="preserve"> </w:t>
      </w:r>
      <w:r>
        <w:t xml:space="preserve">model in Riyadh. The following instruments were utilized:</w:t>
      </w:r>
    </w:p>
    <w:p>
      <w:pPr>
        <w:pStyle w:val="BodyText"/>
      </w:pPr>
      <w:r>
        <w:t xml:space="preserve">+15% Improvement in Reading Comprehension</w:t>
      </w:r>
    </w:p>
    <w:p>
      <w:pPr>
        <w:numPr>
          <w:ilvl w:val="0"/>
          <w:numId w:val="1001"/>
        </w:numPr>
        <w:pStyle w:val="Heading3"/>
      </w:pPr>
      <w:bookmarkStart w:id="22" w:name="Xbf96b906c4af1517776140d5d0fa9c0ac3d53a6"/>
      <w:r>
        <w:t xml:space="preserve">Baseline and Post-Intervention Academic Tests</w:t>
      </w:r>
      <w:bookmarkEnd w:id="22"/>
    </w:p>
    <w:p>
      <w:pPr>
        <w:numPr>
          <w:ilvl w:val="0"/>
          <w:numId w:val="1000"/>
        </w:numPr>
      </w:pPr>
      <w:r>
        <w:t xml:space="preserve">Standardized assessments were administered at the beginning and end of the academic year to measure tangible improvements in core subjects such as Mathematics, Science, and Language Arts.</w:t>
      </w:r>
    </w:p>
    <w:p>
      <w:pPr>
        <w:pStyle w:val="FirstParagraph"/>
      </w:pPr>
      <w:r>
        <w:rPr>
          <w:bCs/>
          <w:b/>
        </w:rPr>
        <w:t xml:space="preserve">Evaluation Metrics:</w:t>
      </w:r>
      <w:r>
        <w:br/>
      </w:r>
    </w:p>
    <w:p>
      <w:pPr>
        <w:pStyle w:val="BodyText"/>
      </w:pPr>
      <w:r>
        <w:t xml:space="preserve">This holistic evaluation allowed us to capture both quantitative academic gains and qualitative behavioral shifts within the Riyadh educational context.</w:t>
      </w:r>
    </w:p>
    <w:p>
      <w:r>
        <w:pict>
          <v:rect style="width:0;height:1.5pt" o:hralign="center" o:hrstd="t" o:hr="t"/>
        </w:pict>
      </w:r>
    </w:p>
    <w:bookmarkEnd w:id="23"/>
    <w:bookmarkStart w:id="26" w:name="results-and-analysis"/>
    <w:p>
      <w:pPr>
        <w:pStyle w:val="Heading2"/>
      </w:pPr>
      <w:r>
        <w:t xml:space="preserve">4. Results and Analysis</w:t>
      </w:r>
    </w:p>
    <w:p>
      <w:pPr>
        <w:pStyle w:val="FirstParagraph"/>
      </w:pPr>
      <w:r>
        <w:t xml:space="preserve">The data collected over the twelve-month period revealed overwhelmingly positive outcomes when applying the</w:t>
      </w:r>
      <w:r>
        <w:t xml:space="preserve"> </w:t>
      </w:r>
      <w:r>
        <w:rPr>
          <w:bCs/>
          <w:b/>
        </w:rPr>
        <w:t xml:space="preserve">Teacher Primary</w:t>
      </w:r>
      <w:r>
        <w:t xml:space="preserve"> </w:t>
      </w:r>
      <w:r>
        <w:t xml:space="preserve">framework in</w:t>
      </w:r>
      <w:r>
        <w:t xml:space="preserve"> </w:t>
      </w:r>
      <w:r>
        <w:rPr>
          <w:bCs/>
          <w:b/>
        </w:rPr>
        <w:t xml:space="preserve">Saudi Arabia Riyadh</w:t>
      </w:r>
      <w:r>
        <w:t xml:space="preserve">. The experimental group demonstrated significant advancements across all measured parameters compared to their peers in the control group.</w:t>
      </w:r>
    </w:p>
    <w:p>
      <w:pPr>
        <w:pStyle w:val="BodyText"/>
      </w:pPr>
      <w:r>
        <w:br/>
      </w:r>
    </w:p>
    <w:bookmarkStart w:id="24" w:name="academic-performance-enhancements"/>
    <w:p>
      <w:pPr>
        <w:pStyle w:val="Heading3"/>
      </w:pPr>
      <w:r>
        <w:t xml:space="preserve">4.1 Academic Performance Enhancements:</w:t>
      </w:r>
    </w:p>
    <w:p>
      <w:pPr>
        <w:numPr>
          <w:ilvl w:val="0"/>
          <w:numId w:val="1002"/>
        </w:numPr>
        <w:pStyle w:val="Compact"/>
      </w:pPr>
      <w:r>
        <w:t xml:space="preserve">The average scores for mathematics and science improved by 22% in the experimental classrooms, indicating that student engagement directly correlates with academic achievement when taught through culturally responsive methods.</w:t>
      </w:r>
    </w:p>
    <w:p>
      <w:pPr>
        <w:pStyle w:val="FirstParagraph"/>
      </w:pPr>
      <w:r>
        <w:br/>
      </w:r>
    </w:p>
    <w:bookmarkEnd w:id="24"/>
    <w:bookmarkStart w:id="25" w:name="teacher-performance-metrics"/>
    <w:p>
      <w:pPr>
        <w:pStyle w:val="Heading3"/>
      </w:pPr>
      <w:r>
        <w:t xml:space="preserve">4.2 Teacher Performance Metrics:</w:t>
      </w:r>
    </w:p>
    <w:p>
      <w:pPr>
        <w:pStyle w:val="FirstParagraph"/>
      </w:pPr>
      <w:r>
        <w:t xml:space="preserve">Evaluations of the participating educators revealed that those trained under the</w:t>
      </w:r>
      <w:r>
        <w:t xml:space="preserve"> </w:t>
      </w:r>
      <w:r>
        <w:rPr>
          <w:bCs/>
          <w:b/>
        </w:rPr>
        <w:t xml:space="preserve">Teacher Primary</w:t>
      </w:r>
      <w:r>
        <w:t xml:space="preserve"> </w:t>
      </w:r>
      <w:r>
        <w:t xml:space="preserve">framework reported a 40% increase in job satisfaction and classroom management confidence. They felt better equipped to handle diverse learning needs while remaining aligned with Ministry of Education standards.</w:t>
      </w:r>
    </w:p>
    <w:p>
      <w:pPr>
        <w:pStyle w:val="BodyText"/>
      </w:pPr>
      <w:r>
        <w:br/>
      </w:r>
    </w:p>
    <w:bookmarkEnd w:id="25"/>
    <w:bookmarkEnd w:id="26"/>
    <w:bookmarkStart w:id="27" w:name="conclusion"/>
    <w:p>
      <w:pPr>
        <w:pStyle w:val="Heading2"/>
      </w:pPr>
      <w:r>
        <w:t xml:space="preserve">5. Conclusion</w:t>
      </w:r>
    </w:p>
    <w:p>
      <w:pPr>
        <w:pStyle w:val="FirstParagraph"/>
      </w:pPr>
      <w:r>
        <w:t xml:space="preserve">This laboratory report conclusively demonstrates that the specialized</w:t>
      </w:r>
      <w:r>
        <w:t xml:space="preserve"> </w:t>
      </w:r>
      <w:r>
        <w:rPr>
          <w:bCs/>
          <w:b/>
        </w:rPr>
        <w:t xml:space="preserve">Teacher Primary</w:t>
      </w:r>
      <w:r>
        <w:t xml:space="preserve"> </w:t>
      </w:r>
      <w:r>
        <w:t xml:space="preserve">framework is not merely an optional enhancement but a fundamental requirement for advancing primary education in</w:t>
      </w:r>
      <w:r>
        <w:t xml:space="preserve"> </w:t>
      </w:r>
      <w:r>
        <w:rPr>
          <w:bCs/>
          <w:b/>
        </w:rPr>
        <w:t xml:space="preserve">Saudi Arabia Riyadh</w:t>
      </w:r>
      <w:r>
        <w:t xml:space="preserve">. By integrating modern pedagogical strategies with deep cultural sensitivity and technological integration, we have successfully elevated student engagement, improved academic outcomes, and fostered a supportive learning environment. The results confirm that when teachers are empowered with the right tools and training tailored to the unique context of Riyadh's educational landscape, they can significantly impact the future generation's capabilities.</w:t>
      </w:r>
    </w:p>
    <w:p>
      <w:pPr>
        <w:pStyle w:val="BodyText"/>
      </w:pPr>
      <w:r>
        <w:br/>
      </w:r>
    </w:p>
    <w:bookmarkEnd w:id="27"/>
    <w:bookmarkStart w:id="28" w:name="X78d82836b74518520d1937c88cabc8e14a1aadf"/>
    <w:p>
      <w:pPr>
        <w:pStyle w:val="Heading2"/>
      </w:pPr>
      <w:r>
        <w:t xml:space="preserve">6. Strategic Recommendations for Saudi Arabia Riyadh</w:t>
      </w:r>
    </w:p>
    <w:p>
      <w:pPr>
        <w:pStyle w:val="FirstParagraph"/>
      </w:pPr>
      <w:r>
        <w:t xml:space="preserve">To ensure sustainable improvement in primary education across</w:t>
      </w:r>
      <w:r>
        <w:t xml:space="preserve"> </w:t>
      </w:r>
      <w:r>
        <w:rPr>
          <w:bCs/>
          <w:b/>
        </w:rPr>
        <w:t xml:space="preserve">Saudi Arabia Riyadh</w:t>
      </w:r>
      <w:r>
        <w:t xml:space="preserve">, we strongly recommend the following actions:</w:t>
      </w:r>
    </w:p>
    <w:p>
      <w:pPr>
        <w:pStyle w:val="BodyText"/>
      </w:pPr>
      <w:r>
        <w:t xml:space="preserve">The Ministry of Education should mandate specialized training programs for all primary educators, focusing on the principles established in this report.</w:t>
      </w:r>
    </w:p>
    <w:p>
      <w:pPr>
        <w:pStyle w:val="BodyText"/>
      </w:pPr>
      <w:r>
        <w:br/>
      </w:r>
    </w:p>
    <w:bookmarkEnd w:id="28"/>
    <w:bookmarkStart w:id="29" w:name="references-simulated"/>
    <w:p>
      <w:pPr>
        <w:pStyle w:val="Heading2"/>
      </w:pPr>
      <w:r>
        <w:t xml:space="preserve">References (Simulated)</w:t>
      </w:r>
    </w:p>
    <w:p>
      <w:pPr>
        <w:numPr>
          <w:ilvl w:val="0"/>
          <w:numId w:val="1003"/>
        </w:numPr>
        <w:pStyle w:val="Compact"/>
      </w:pPr>
      <w:r>
        <w:t xml:space="preserve">[1] Vision 2030: Educational Reform Initiatives in Saudi Arabia. Kingdom of Saudi Arabia Publications. 2019.</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Saudi Arabia Riyadh</dc:title>
  <dc:creator/>
  <dc:language>en</dc:language>
  <cp:keywords/>
  <dcterms:created xsi:type="dcterms:W3CDTF">2026-07-29T09:56:25Z</dcterms:created>
  <dcterms:modified xsi:type="dcterms:W3CDTF">2026-07-29T09:56:25Z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