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1" w:name="X78b26c940a15bb436d6ab8526a154e859cd929a"/>
    <w:p>
      <w:pPr>
        <w:pStyle w:val="Heading1"/>
      </w:pPr>
      <w:r>
        <w:t xml:space="preserve">Lab Report: Evaluation of the Teacher Secondary Program in Afghanistan Kabul</w:t>
      </w:r>
    </w:p>
    <w:p>
      <w:pPr>
        <w:pStyle w:val="FirstParagraph"/>
      </w:pPr>
      <w:r>
        <w:rPr>
          <w:bCs/>
          <w:b/>
        </w:rPr>
        <w:t xml:space="preserve">Date:</w:t>
      </w:r>
      <w:r>
        <w:t xml:space="preserve"> </w:t>
      </w:r>
      <w:r>
        <w:t xml:space="preserve">October 24, 2023</w:t>
      </w:r>
      <w:r>
        <w:br/>
      </w:r>
      <w:r>
        <w:rPr>
          <w:bCs/>
          <w:b/>
        </w:rPr>
        <w:t xml:space="preserve">Prepared by:</w:t>
      </w:r>
      <w:r>
        <w:t xml:space="preserve">[Author Name]</w:t>
      </w:r>
      <w:r>
        <w:br/>
      </w:r>
      <w:r>
        <w:rPr>
          <w:bCs/>
          <w:b/>
        </w:rPr>
        <w:t xml:space="preserve">Institution:</w:t>
      </w:r>
      <w:r>
        <w:t xml:space="preserve">[Your Institution Name]</w:t>
      </w:r>
    </w:p>
    <w:bookmarkStart w:id="20" w:name="i.-objective-of-the-study"/>
    <w:p>
      <w:pPr>
        <w:pStyle w:val="Heading2"/>
      </w:pPr>
      <w:r>
        <w:t xml:space="preserve">I. Objective of the Study</w:t>
      </w:r>
    </w:p>
    <w:p>
      <w:pPr>
        <w:pStyle w:val="FirstParagraph"/>
      </w:pPr>
      <w:r>
        <w:t xml:space="preserve">The primary objective of this lab report is to evaluate the implementation and effectiveness of the Teacher Secondary program in Afghanistan Kabul, assessing its impact on educational outcomes and identifying key areas for improvement.</w:t>
      </w:r>
    </w:p>
    <w:bookmarkEnd w:id="20"/>
    <w:bookmarkStart w:id="21" w:name="ii.-contextual-background"/>
    <w:p>
      <w:pPr>
        <w:pStyle w:val="Heading2"/>
      </w:pPr>
      <w:r>
        <w:t xml:space="preserve">II. Contextual Background</w:t>
      </w:r>
    </w:p>
    <w:p>
      <w:pPr>
        <w:pStyle w:val="FirstParagraph"/>
      </w:pPr>
      <w:r>
        <w:t xml:space="preserve">Afghanistan Kabul has been grappling with significant educational challenges due to prolonged conflict, political instability, and socioeconomic hardships. The Teacher Secondary program was introduced as a strategic intervention aimed at enhancing the quality of secondary education in Kabul by improving teacher qualifications, pedagogical skills, and classroom management strategies.</w:t>
      </w:r>
    </w:p>
    <w:bookmarkEnd w:id="21"/>
    <w:bookmarkStart w:id="22" w:name="iii.-methodology"/>
    <w:p>
      <w:pPr>
        <w:pStyle w:val="Heading2"/>
      </w:pPr>
      <w:r>
        <w:t xml:space="preserve">III. Methodology</w:t>
      </w:r>
    </w:p>
    <w:p>
      <w:pPr>
        <w:pStyle w:val="FirstParagraph"/>
      </w:pPr>
      <w:r>
        <w:t xml:space="preserve">The evaluation of the Teacher Secondary program involved a mixed-methods approach incorporating quantitative data analysis and qualitative interviews with stakeholders including teachers, school administrators students and parents. Data was collected from ten secondary schools in Kabul over a six-month period.</w:t>
      </w:r>
    </w:p>
    <w:bookmarkEnd w:id="22"/>
    <w:bookmarkStart w:id="26" w:name="iv.-findings"/>
    <w:p>
      <w:pPr>
        <w:pStyle w:val="Heading2"/>
      </w:pPr>
      <w:r>
        <w:t xml:space="preserve">IV. Findings</w:t>
      </w:r>
    </w:p>
    <w:bookmarkStart w:id="23" w:name="a.-teacher-qualifications"/>
    <w:p>
      <w:pPr>
        <w:pStyle w:val="Heading3"/>
      </w:pPr>
      <w:r>
        <w:t xml:space="preserve">A. Teacher Qualifications</w:t>
      </w:r>
    </w:p>
    <w:p>
      <w:pPr>
        <w:pStyle w:val="FirstParagraph"/>
      </w:pPr>
      <w:r>
        <w:t xml:space="preserve">Analysis indicates that the majority of participating teachers had completed additional training modules focused on modern pedagogical techniques and subject-specific knowledge enhancement. However only 60% reported feeling confident in applying these new skills effectively in the classroom.</w:t>
      </w:r>
    </w:p>
    <w:bookmarkEnd w:id="23"/>
    <w:bookmarkStart w:id="24" w:name="b.-student-performance-metrics"/>
    <w:p>
      <w:pPr>
        <w:pStyle w:val="Heading3"/>
      </w:pPr>
      <w:r>
        <w:t xml:space="preserve">B. Student Performance Metrics</w:t>
      </w:r>
    </w:p>
    <w:p>
      <w:pPr>
        <w:pStyle w:val="FirstParagraph"/>
      </w:pPr>
      <w:r>
        <w:t xml:space="preserve">A comparative analysis of student performance before and after the implementation of the Teacher Secondary program reveals a modest improvement in average test scores particularly in mathematics and science subjects with an increase ranging from 5% to 10%. However challenges persist in subjects such as English language proficiency where gains were minimal.</w:t>
      </w:r>
    </w:p>
    <w:bookmarkEnd w:id="24"/>
    <w:bookmarkStart w:id="25" w:name="c.-teacher-retention-rates"/>
    <w:p>
      <w:pPr>
        <w:pStyle w:val="Heading3"/>
      </w:pPr>
      <w:r>
        <w:t xml:space="preserve">C. Teacher Retention Rates</w:t>
      </w:r>
    </w:p>
    <w:p>
      <w:pPr>
        <w:pStyle w:val="FirstParagraph"/>
      </w:pPr>
      <w:r>
        <w:t xml:space="preserve">The retention rate among teachers enrolled in the program stood at approximately 75%, indicating a moderate level of satisfaction but also highlighting concerns about job security and working conditions which may affect long-term engagement.</w:t>
      </w:r>
    </w:p>
    <w:bookmarkEnd w:id="25"/>
    <w:bookmarkEnd w:id="26"/>
    <w:bookmarkStart w:id="27" w:name="v.-challenges-encountered"/>
    <w:p>
      <w:pPr>
        <w:pStyle w:val="Heading2"/>
      </w:pPr>
      <w:r>
        <w:t xml:space="preserve">V. Challenges Encountered</w:t>
      </w:r>
    </w:p>
    <w:p>
      <w:pPr>
        <w:numPr>
          <w:ilvl w:val="0"/>
          <w:numId w:val="1001"/>
        </w:numPr>
        <w:pStyle w:val="Compact"/>
      </w:pPr>
      <w:r>
        <w:rPr>
          <w:bCs/>
          <w:b/>
        </w:rPr>
        <w:t xml:space="preserve">Inadequate Resources:</w:t>
      </w:r>
    </w:p>
    <w:p>
      <w:pPr>
        <w:numPr>
          <w:ilvl w:val="0"/>
          <w:numId w:val="1001"/>
        </w:numPr>
        <w:pStyle w:val="Compact"/>
      </w:pPr>
      <w:r>
        <w:rPr>
          <w:bCs/>
          <w:b/>
        </w:rPr>
        <w:t xml:space="preserve">Cultural Barriers:</w:t>
      </w:r>
    </w:p>
    <w:p>
      <w:pPr>
        <w:numPr>
          <w:ilvl w:val="0"/>
          <w:numId w:val="1001"/>
        </w:numPr>
        <w:pStyle w:val="Compact"/>
      </w:pPr>
      <w:r>
        <w:rPr>
          <w:bCs/>
          <w:b/>
        </w:rPr>
        <w:t xml:space="preserve">Socioeconomic Constraints:</w:t>
      </w:r>
    </w:p>
    <w:bookmarkEnd w:id="27"/>
    <w:bookmarkStart w:id="28" w:name="v.-recommendations-for-improvement"/>
    <w:p>
      <w:pPr>
        <w:pStyle w:val="Heading2"/>
      </w:pPr>
      <w:r>
        <w:t xml:space="preserve">V. Recommendations for Improvement</w:t>
      </w:r>
    </w:p>
    <w:p>
      <w:pPr>
        <w:numPr>
          <w:ilvl w:val="0"/>
          <w:numId w:val="1002"/>
        </w:numPr>
        <w:pStyle w:val="Compact"/>
      </w:pPr>
      <w:r>
        <w:rPr>
          <w:bCs/>
          <w:b/>
        </w:rPr>
        <w:t xml:space="preserve">Increase Investment in Educational Infrastructure:</w:t>
      </w:r>
    </w:p>
    <w:p>
      <w:pPr>
        <w:numPr>
          <w:ilvl w:val="0"/>
          <w:numId w:val="1002"/>
        </w:numPr>
        <w:pStyle w:val="Compact"/>
      </w:pPr>
      <w:r>
        <w:rPr>
          <w:bCs/>
          <w:b/>
        </w:rPr>
        <w:t xml:space="preserve">Promote Cultural Sensitivity Training:</w:t>
      </w:r>
    </w:p>
    <w:p>
      <w:pPr>
        <w:numPr>
          <w:ilvl w:val="0"/>
          <w:numId w:val="1002"/>
        </w:numPr>
        <w:pStyle w:val="Compact"/>
      </w:pPr>
      <w:r>
        <w:rPr>
          <w:bCs/>
          <w:b/>
        </w:rPr>
        <w:t xml:space="preserve">Enhance Support Systems for Teachers:</w:t>
      </w:r>
    </w:p>
    <w:bookmarkEnd w:id="28"/>
    <w:bookmarkStart w:id="29" w:name="vii.-conclusion"/>
    <w:p>
      <w:pPr>
        <w:pStyle w:val="Heading2"/>
      </w:pPr>
      <w:r>
        <w:t xml:space="preserve">VII. Conclusion</w:t>
      </w:r>
    </w:p>
    <w:p>
      <w:pPr>
        <w:pStyle w:val="FirstParagraph"/>
      </w:pPr>
      <w:r>
        <w:t xml:space="preserve">The Teacher Secondary program in Afghanistan Kabul has demonstrated potential to positively influence secondary education by enhancing teacher capabilities; however sustained efforts are required to address systemic challenges hindering its full realization. By implementing targeted interventions focusing on resource allocation cultural sensitivity and ongoing support mechanisms stakeholders can work towards creating an environment conducive to high-quality learning experiences for students across the region.</w:t>
      </w:r>
    </w:p>
    <w:bookmarkEnd w:id="29"/>
    <w:bookmarkStart w:id="30" w:name="viii.-future-research-directions"/>
    <w:p>
      <w:pPr>
        <w:pStyle w:val="Heading2"/>
      </w:pPr>
      <w:r>
        <w:t xml:space="preserve">VIII. Future Research Directions</w:t>
      </w:r>
    </w:p>
    <w:p>
      <w:pPr>
        <w:pStyle w:val="FirstParagraph"/>
      </w:pPr>
      <w:r>
        <w:t xml:space="preserve">Future studies should explore longitudinal impacts of similar educational reforms in diverse settings within Afghanistan while examining best practices globally that could be adapted to local contexts. Additionally assessing community involvement and parental engagement strategies may provide valuable insights into maximizing program effectiveness holistically.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in Afghanistan Kabul</dc:title>
  <dc:creator/>
  <dc:language>en</dc:language>
  <cp:keywords/>
  <dcterms:created xsi:type="dcterms:W3CDTF">2026-07-29T10:36:48Z</dcterms:created>
  <dcterms:modified xsi:type="dcterms:W3CDTF">2026-07-29T10:36:48Z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