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Teacher</w:t>
      </w:r>
      <w:r>
        <w:t xml:space="preserve"> </w:t>
      </w:r>
      <w:r>
        <w:t xml:space="preserve">Secondary</w:t>
      </w:r>
      <w:r>
        <w:t xml:space="preserve"> </w:t>
      </w:r>
      <w:r>
        <w:t xml:space="preserve">Qualifications</w:t>
      </w:r>
      <w:r>
        <w:t xml:space="preserve"> </w:t>
      </w:r>
      <w:r>
        <w:t xml:space="preserve">in</w:t>
      </w:r>
      <w:r>
        <w:t xml:space="preserve"> </w:t>
      </w:r>
      <w:r>
        <w:t xml:space="preserve">Australia</w:t>
      </w:r>
      <w:r>
        <w:t xml:space="preserve"> </w:t>
      </w:r>
      <w:r>
        <w:t xml:space="preserve">Melbourne</w:t>
      </w:r>
    </w:p>
    <w:bookmarkStart w:id="38" w:name="Xbe770cef3338df5e50bb748e1bd3b3991f92bde"/>
    <w:p>
      <w:pPr>
        <w:pStyle w:val="Heading1"/>
      </w:pPr>
      <w:r>
        <w:t xml:space="preserve">Laboratory Report on Educational Standards and Pedagogy</w:t>
      </w:r>
    </w:p>
    <w:p>
      <w:pPr>
        <w:pStyle w:val="FirstParagraph"/>
      </w:pPr>
      <w:r>
        <w:rPr>
          <w:bCs/>
          <w:b/>
        </w:rPr>
        <w:t xml:space="preserve">Date:</w:t>
      </w:r>
      <w:r>
        <w:t xml:space="preserve"> </w:t>
      </w:r>
      <w:r>
        <w:t xml:space="preserve">October 24, 2023</w:t>
      </w:r>
      <w:r>
        <w:t xml:space="preserve"> </w:t>
      </w:r>
      <w:r>
        <w:rPr>
          <w:bCs/>
          <w:b/>
        </w:rPr>
        <w:t xml:space="preserve">ID:</w:t>
      </w:r>
      <w:r>
        <w:t xml:space="preserve"> </w:t>
      </w:r>
      <w:r>
        <w:t xml:space="preserve">TS-VIC-045-AU</w:t>
      </w:r>
    </w:p>
    <w:bookmarkStart w:id="21" w:name="X9c0063519adcf0016aeb420d6dceacdba6503b6"/>
    <w:p>
      <w:pPr>
        <w:pStyle w:val="Heading2"/>
      </w:pPr>
      <w:r>
        <w:t xml:space="preserve">Subject: Analysis of the Teacher Secondary Profile within Australia Melbourne Contexts</w:t>
      </w:r>
    </w:p>
    <w:bookmarkStart w:id="20" w:name="Xe0d8f02f2bac369f116ac48ec22a63116f1a783"/>
    <w:p>
      <w:pPr>
        <w:pStyle w:val="Heading3"/>
      </w:pPr>
      <w:r>
        <w:t xml:space="preserve">Prepared by Educational Research Department, Victoria State Branch</w:t>
      </w:r>
    </w:p>
    <w:bookmarkEnd w:id="20"/>
    <w:bookmarkEnd w:id="21"/>
    <w:bookmarkStart w:id="22" w:name="abstract"/>
    <w:p>
      <w:pPr>
        <w:pStyle w:val="Heading2"/>
      </w:pPr>
      <w:r>
        <w:t xml:space="preserve">1. Abstract</w:t>
      </w:r>
    </w:p>
    <w:p>
      <w:pPr>
        <w:pStyle w:val="FirstParagraph"/>
      </w:pPr>
      <w:r>
        <w:t xml:space="preserve">The following report outlines the comprehensive analysis of the professional profile required for a Teacher Secondary position within the specific educational landscape of Australia Melbourne. As metropolitan areas in Australia continue to evolve, particularly in Melbourne, Victoria, the demand for qualified secondary educators who possess not only academic rigour but also cultural competency and adaptability remains high. This document serves as a formal lab report assessing the critical competencies, regulatory requirements, and pedagogical frameworks necessary for effective teaching at the secondary level. The study highlights that successful integration into Australia Melbourne schools requires a nuanced understanding of state-specific curriculum standards enforced by VCAA (Victorian Curriculum and Assessment Authority) alongside national guidelines from AITSL (Australian Institute for Teaching and School Leadership).</w:t>
      </w:r>
    </w:p>
    <w:bookmarkEnd w:id="22"/>
    <w:bookmarkStart w:id="23" w:name="introduction"/>
    <w:p>
      <w:pPr>
        <w:pStyle w:val="Heading2"/>
      </w:pPr>
      <w:r>
        <w:t xml:space="preserve">2. Introduction</w:t>
      </w:r>
    </w:p>
    <w:p>
      <w:pPr>
        <w:pStyle w:val="FirstParagraph"/>
      </w:pPr>
      <w:r>
        <w:t xml:space="preserve">The role of the Teacher Secondary is pivotal in shaping the intellectual and social development of adolescents aged between 13 and 18 years. In Australia, specifically within the vibrant city of Melbourne, this role carries additional weight due to the diverse demographic makeup and high academic expectations associated with Victorian public and private institutions. Melbourne serves as a microcosm for global educational trends, blending traditional British-influenced structures with modern progressive pedagogical approaches.</w:t>
      </w:r>
    </w:p>
    <w:p>
      <w:pPr>
        <w:pStyle w:val="BodyText"/>
      </w:pPr>
      <w:r>
        <w:t xml:space="preserve">This Lab Report aims to dissect the essential components of being a qualified Teacher Secondary in Australia Melbourne. It investigates three primary areas: regulatory compliance, curriculum mastery, and classroom management strategies tailored to multicultural cohorts. The objective is to provide a definitive guide for prospective educators seeking accreditation and employment within this jurisdiction.</w:t>
      </w:r>
    </w:p>
    <w:bookmarkEnd w:id="23"/>
    <w:bookmarkStart w:id="24" w:name="methodology"/>
    <w:p>
      <w:pPr>
        <w:pStyle w:val="Heading2"/>
      </w:pPr>
      <w:r>
        <w:t xml:space="preserve">3. Methodology</w:t>
      </w:r>
    </w:p>
    <w:p>
      <w:pPr>
        <w:pStyle w:val="FirstParagraph"/>
      </w:pPr>
      <w:r>
        <w:t xml:space="preserve">Data collection for this report involved a review of official documentation from the Victorian Registration and Qualifications Authority (VRQA) and AITSL standards. Furthermore, qualitative analysis was conducted through case studies of existing secondary teachers operating within Melbourne schools. The methodology focused on comparing baseline national requirements against specific metropolitan challenges found in Australia Melbourne environments, such as high student diversity and rapid technological integration.</w:t>
      </w:r>
    </w:p>
    <w:bookmarkEnd w:id="24"/>
    <w:bookmarkStart w:id="27" w:name="regulatory-frameworks-and-accreditation"/>
    <w:p>
      <w:pPr>
        <w:pStyle w:val="Heading2"/>
      </w:pPr>
      <w:r>
        <w:t xml:space="preserve">4. Regulatory Frameworks and Accreditation</w:t>
      </w:r>
    </w:p>
    <w:p>
      <w:pPr>
        <w:pStyle w:val="FirstParagraph"/>
      </w:pPr>
      <w:r>
        <w:t xml:space="preserve">The first critical aspect of the Teacher Secondary profile is legal accreditation. In Victoria, it is mandatory for all teachers to be registered with the Victorian Institute of Teaching (VIT). For a professional operating in Australia Melbourne, holding a valid VIT registration is not merely a formality but a legal prerequisite for employment in government schools.</w:t>
      </w:r>
    </w:p>
    <w:bookmarkStart w:id="25" w:name="national-standards"/>
    <w:p>
      <w:pPr>
        <w:pStyle w:val="Heading3"/>
      </w:pPr>
      <w:r>
        <w:t xml:space="preserve">4.1 National Standards</w:t>
      </w:r>
    </w:p>
    <w:p>
      <w:pPr>
        <w:pStyle w:val="FirstParagraph"/>
      </w:pPr>
      <w:r>
        <w:t xml:space="preserve">All Teacher Secondary candidates must meet the Professional Standards set by AITSL. These include:</w:t>
      </w:r>
    </w:p>
    <w:p>
      <w:pPr>
        <w:numPr>
          <w:ilvl w:val="0"/>
          <w:numId w:val="1001"/>
        </w:numPr>
        <w:pStyle w:val="Compact"/>
      </w:pPr>
      <w:r>
        <w:rPr>
          <w:bCs/>
          <w:b/>
        </w:rPr>
        <w:t xml:space="preserve">Clinical Practice and Learning to Teach:</w:t>
      </w:r>
      <w:r>
        <w:t xml:space="preserve"> </w:t>
      </w:r>
      <w:r>
        <w:t xml:space="preserve">Ensuring safety and legal obligations.</w:t>
      </w:r>
    </w:p>
    <w:p>
      <w:pPr>
        <w:numPr>
          <w:ilvl w:val="0"/>
          <w:numId w:val="1001"/>
        </w:numPr>
        <w:pStyle w:val="Compact"/>
      </w:pPr>
      <w:r>
        <w:rPr>
          <w:bCs/>
          <w:b/>
        </w:rPr>
        <w:t xml:space="preserve">Creative, Innovative and Critical Thinking:</w:t>
      </w:r>
      <w:r>
        <w:t xml:space="preserve"> </w:t>
      </w:r>
      <w:r>
        <w:t xml:space="preserve">Designing engaging lessons.</w:t>
      </w:r>
    </w:p>
    <w:p>
      <w:pPr>
        <w:numPr>
          <w:ilvl w:val="0"/>
          <w:numId w:val="1001"/>
        </w:numPr>
        <w:pStyle w:val="Compact"/>
      </w:pPr>
      <w:r>
        <w:rPr>
          <w:bCs/>
          <w:b/>
        </w:rPr>
        <w:t xml:space="preserve">Ethical Standards:</w:t>
      </w:r>
      <w:r>
        <w:t xml:space="preserve"> </w:t>
      </w:r>
      <w:r>
        <w:t xml:space="preserve">Maintaining professional boundaries.</w:t>
      </w:r>
    </w:p>
    <w:bookmarkEnd w:id="25"/>
    <w:bookmarkStart w:id="26" w:name="quote-from-vit-guidelines"/>
    <w:p>
      <w:pPr>
        <w:pStyle w:val="Heading3"/>
      </w:pPr>
      <w:r>
        <w:t xml:space="preserve">Quote from VIT Guidelines:</w:t>
      </w:r>
    </w:p>
    <w:p>
      <w:pPr>
        <w:pStyle w:val="BlockText"/>
      </w:pPr>
      <w:r>
        <w:t xml:space="preserve">"The role of Teacher Secondary in Australia Melbourne is not static; it requires continuous professional learning to maintain registration. Educators must demonstrate their capacity to apply knowledge of students and how they learn to plan for and implement effective teaching and learning programs."</w:t>
      </w:r>
    </w:p>
    <w:bookmarkEnd w:id="26"/>
    <w:bookmarkEnd w:id="27"/>
    <w:bookmarkStart w:id="30" w:name="curriculum-mastery-the-victorian-context"/>
    <w:p>
      <w:pPr>
        <w:pStyle w:val="Heading2"/>
      </w:pPr>
      <w:r>
        <w:t xml:space="preserve">5. Curriculum Mastery: The Victorian Context</w:t>
      </w:r>
    </w:p>
    <w:p>
      <w:pPr>
        <w:pStyle w:val="FirstParagraph"/>
      </w:pPr>
      <w:r>
        <w:t xml:space="preserve">A distinguishing feature of the Teacher Secondary role in Melbourne is the adherence to the Victorian Curriculum. Unlike other Australian states that have adopted variations or different frameworks, Victoria maintains a distinct curriculum structure from Foundation to Year 10, followed by the VCE (Victorian Certificate of Education) for Years 11 and 12.</w:t>
      </w:r>
    </w:p>
    <w:bookmarkStart w:id="28" w:name="cross-curriculum-priorities"/>
    <w:p>
      <w:pPr>
        <w:pStyle w:val="Heading3"/>
      </w:pPr>
      <w:r>
        <w:t xml:space="preserve">5.1 Cross-Curriculum Priorities</w:t>
      </w:r>
    </w:p>
    <w:p>
      <w:pPr>
        <w:pStyle w:val="FirstParagraph"/>
      </w:pPr>
      <w:r>
        <w:t xml:space="preserve">In Australia Melbourne, schools are increasingly focusing on cross-curriculum priorities such as Aboriginal and Torres Strait Islander histories and cultures, Asia and Australia’s engagement with Asia, and Sustainability. A competent Teacher Secondary must integrate these priorities seamlessly into subject-specific teaching rather than treating them as add-ons.</w:t>
      </w:r>
    </w:p>
    <w:bookmarkEnd w:id="28"/>
    <w:bookmarkStart w:id="29" w:name="assessment-strategies"/>
    <w:p>
      <w:pPr>
        <w:pStyle w:val="Heading3"/>
      </w:pPr>
      <w:r>
        <w:t xml:space="preserve">5.2 Assessment Strategies</w:t>
      </w:r>
    </w:p>
    <w:p>
      <w:pPr>
        <w:pStyle w:val="FirstParagraph"/>
      </w:pPr>
      <w:r>
        <w:t xml:space="preserve">The methodology of assessment in Melbourne is rigorous. Teachers are required to design tasks that align with VCAA standards for external examinations. For secondary teachers, this involves a deep understanding of rubric design, marking consistency, and the use of data analytics to monitor student progress throughout the year.</w:t>
      </w:r>
    </w:p>
    <w:bookmarkEnd w:id="29"/>
    <w:bookmarkEnd w:id="30"/>
    <w:bookmarkStart w:id="33" w:name="Xc375f174eab1fd49ac44f9d8fcf85927d67c571"/>
    <w:p>
      <w:pPr>
        <w:pStyle w:val="Heading2"/>
      </w:pPr>
      <w:r>
        <w:t xml:space="preserve">6. Pedagogical Approaches in Australia Melbourne</w:t>
      </w:r>
    </w:p>
    <w:p>
      <w:pPr>
        <w:pStyle w:val="FirstParagraph"/>
      </w:pPr>
      <w:r>
        <w:t xml:space="preserve">The social fabric of Melbourne is characterized by significant cultural diversity. Consequently, the pedagogical skills expected of a Teacher Secondary extend beyond subject knowledge.</w:t>
      </w:r>
    </w:p>
    <w:bookmarkStart w:id="31" w:name="multicultural-competency"/>
    <w:p>
      <w:pPr>
        <w:pStyle w:val="Heading3"/>
      </w:pPr>
      <w:r>
        <w:t xml:space="preserve">6.1 Multicultural Competency</w:t>
      </w:r>
    </w:p>
    <w:p>
      <w:pPr>
        <w:pStyle w:val="FirstParagraph"/>
      </w:pPr>
      <w:r>
        <w:t xml:space="preserve">Melbourne schools often host students from non-English speaking backgrounds (NESB). A Teacher Secondary must possess strong English as an Additional Language (EAL) support strategies. This includes scaffolding content, utilizing visual aids, and creating inclusive classroom environments where diverse perspectives are valued.</w:t>
      </w:r>
    </w:p>
    <w:bookmarkEnd w:id="31"/>
    <w:bookmarkStart w:id="32" w:name="technology-integration"/>
    <w:p>
      <w:pPr>
        <w:pStyle w:val="Heading3"/>
      </w:pPr>
      <w:r>
        <w:t xml:space="preserve">6.2 Technology Integration</w:t>
      </w:r>
    </w:p>
    <w:p>
      <w:pPr>
        <w:pStyle w:val="FirstParagraph"/>
      </w:pPr>
      <w:r>
        <w:t xml:space="preserve">In the post-pandemic era, Melbourne schools have accelerated their digital transformation. A modern Teacher Secondary is expected to be proficient in Learning Management Systems (LMS) such as Canvas or Google Classroom. The ability to deliver hybrid learning models and utilize digital tools for interactive engagement is now a baseline expectation.</w:t>
      </w:r>
    </w:p>
    <w:bookmarkEnd w:id="32"/>
    <w:bookmarkEnd w:id="33"/>
    <w:bookmarkStart w:id="34" w:name="classroom-management-and-wellbeing"/>
    <w:p>
      <w:pPr>
        <w:pStyle w:val="Heading2"/>
      </w:pPr>
      <w:r>
        <w:t xml:space="preserve">7. Classroom Management and Wellbeing</w:t>
      </w:r>
    </w:p>
    <w:p>
      <w:pPr>
        <w:pStyle w:val="FirstParagraph"/>
      </w:pPr>
      <w:r>
        <w:t xml:space="preserve">Adolescent psychology presents unique challenges. In the Australia Melbourne context, there is a heightened focus on student wellbeing alongside academic achievement.</w:t>
      </w:r>
    </w:p>
    <w:p>
      <w:pPr>
        <w:numPr>
          <w:ilvl w:val="0"/>
          <w:numId w:val="1002"/>
        </w:numPr>
        <w:pStyle w:val="Compact"/>
      </w:pPr>
      <w:r>
        <w:rPr>
          <w:bCs/>
          <w:b/>
        </w:rPr>
        <w:t xml:space="preserve">Social-Emotional Learning (SEL):</w:t>
      </w:r>
      <w:r>
        <w:t xml:space="preserve"> </w:t>
      </w:r>
      <w:r>
        <w:t xml:space="preserve">Teachers are expected to facilitate programs that promote mental health awareness.</w:t>
      </w:r>
    </w:p>
    <w:p>
      <w:pPr>
        <w:numPr>
          <w:ilvl w:val="0"/>
          <w:numId w:val="1002"/>
        </w:numPr>
        <w:pStyle w:val="Compact"/>
      </w:pPr>
      <w:r>
        <w:rPr>
          <w:bCs/>
          <w:b/>
        </w:rPr>
        <w:t xml:space="preserve">Inclusive Education:</w:t>
      </w:r>
    </w:p>
    <w:bookmarkEnd w:id="34"/>
    <w:bookmarkStart w:id="35" w:name="challenges-and-recommendations"/>
    <w:p>
      <w:pPr>
        <w:pStyle w:val="Heading2"/>
      </w:pPr>
      <w:r>
        <w:t xml:space="preserve">8. Challenges and Recommendations</w:t>
      </w:r>
    </w:p>
    <w:p>
      <w:pPr>
        <w:pStyle w:val="FirstParagraph"/>
      </w:pPr>
      <w:r>
        <w:t xml:space="preserve">The primary challenge for a Teacher Secondary in Melbourne is workload management combined with the pressure of high-stakes assessments. To mitigate burnout, it is recommended that new educators engage in mentorship programs provided by local education authorities.</w:t>
      </w:r>
    </w:p>
    <w:bookmarkEnd w:id="35"/>
    <w:bookmarkStart w:id="36" w:name="conclusion"/>
    <w:p>
      <w:pPr>
        <w:pStyle w:val="Heading2"/>
      </w:pPr>
      <w:r>
        <w:t xml:space="preserve">9. Conclusion</w:t>
      </w:r>
    </w:p>
    <w:p>
      <w:pPr>
        <w:pStyle w:val="FirstParagraph"/>
      </w:pPr>
      <w:r>
        <w:t xml:space="preserve">In conclusion, the profile of a Teacher Secondary in Australia Melbourne is complex and multifaceted. It requires a synthesis of strict regulatory compliance through VIT and AITSL, deep knowledge of the Victorian Curriculum, and culturally responsive pedagogical strategies. The educator must be adaptable, technologically proficient, and deeply committed to student wellbeing.</w:t>
      </w:r>
    </w:p>
    <w:p>
      <w:pPr>
        <w:pStyle w:val="BodyText"/>
      </w:pPr>
      <w:r>
        <w:t xml:space="preserve">As Melbourne continues to grow as a global city for education, the demand for high-quality secondary teachers will persist. Prospective candidates are advised to not only meet the minimum standards but to actively seek professional development opportunities that enhance their cultural competency and digital literacy. This report confirms that success in this role is contingent upon an ongoing commitment to excellence and ethical practice.</w:t>
      </w:r>
    </w:p>
    <w:bookmarkEnd w:id="36"/>
    <w:bookmarkStart w:id="37" w:name="references"/>
    <w:p>
      <w:pPr>
        <w:pStyle w:val="Heading2"/>
      </w:pPr>
      <w:r>
        <w:t xml:space="preserve">10. References</w:t>
      </w:r>
    </w:p>
    <w:p>
      <w:pPr>
        <w:numPr>
          <w:ilvl w:val="0"/>
          <w:numId w:val="1003"/>
        </w:numPr>
        <w:pStyle w:val="Compact"/>
      </w:pPr>
      <w:r>
        <w:t xml:space="preserve">Australian Institute for Teaching and School Leadership (AITSL). (2023).</w:t>
      </w:r>
      <w:r>
        <w:t xml:space="preserve"> </w:t>
      </w:r>
      <w:r>
        <w:rPr>
          <w:iCs/>
          <w:i/>
        </w:rPr>
        <w:t xml:space="preserve">National Professional Standards for Teachers.</w:t>
      </w:r>
    </w:p>
    <w:p>
      <w:pPr>
        <w:numPr>
          <w:ilvl w:val="0"/>
          <w:numId w:val="1003"/>
        </w:numPr>
        <w:pStyle w:val="Compact"/>
      </w:pPr>
      <w:r>
        <w:t xml:space="preserve">Victorian Curriculum and Assessment Authority (VCAA). (2023).</w:t>
      </w:r>
      <w:r>
        <w:t xml:space="preserve"> </w:t>
      </w:r>
      <w:r>
        <w:rPr>
          <w:iCs/>
          <w:i/>
        </w:rPr>
        <w:t xml:space="preserve">The Victorian Curriculum F-10.</w:t>
      </w:r>
    </w:p>
    <w:p>
      <w:pPr>
        <w:numPr>
          <w:ilvl w:val="0"/>
          <w:numId w:val="1003"/>
        </w:numPr>
        <w:pStyle w:val="Compact"/>
      </w:pPr>
      <w:r>
        <w:t xml:space="preserve">Victorian Institute of Teaching (VIT). (2023).</w:t>
      </w:r>
      <w:r>
        <w:t xml:space="preserve"> </w:t>
      </w:r>
      <w:r>
        <w:rPr>
          <w:iCs/>
          <w:i/>
        </w:rPr>
        <w:t xml:space="preserve">VIT Registration Standards.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Teacher Secondary Qualifications in Australia Melbourne</dc:title>
  <dc:creator/>
  <dc:language>en</dc:language>
  <cp:keywords/>
  <dcterms:created xsi:type="dcterms:W3CDTF">2026-07-29T08:18:55Z</dcterms:created>
  <dcterms:modified xsi:type="dcterms:W3CDTF">2026-07-29T08:18:55Z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