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Framework</w:t>
      </w:r>
      <w:r>
        <w:t xml:space="preserve"> </w:t>
      </w:r>
      <w:r>
        <w:t xml:space="preserve">in</w:t>
      </w:r>
      <w:r>
        <w:t xml:space="preserve"> </w:t>
      </w:r>
      <w:r>
        <w:t xml:space="preserve">Australia</w:t>
      </w:r>
      <w:r>
        <w:t xml:space="preserve"> </w:t>
      </w:r>
      <w:r>
        <w:t xml:space="preserve">Sydney</w:t>
      </w:r>
    </w:p>
    <w:bookmarkStart w:id="20" w:name="Xea1c38545dde13f5b68441a00a7b65e77d87325"/>
    <w:p>
      <w:pPr>
        <w:pStyle w:val="Heading1"/>
      </w:pPr>
      <w:r>
        <w:t xml:space="preserve">Laboratory Analysis Report: The Implementation and Evaluation of the Secondary Teacher Curriculum in Australia Sydney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South Wales Department of Education Research Facility, Sydney, NSW</w:t>
      </w:r>
      <w:r>
        <w:br/>
      </w:r>
      <w:r>
        <w:rPr>
          <w:bCs/>
          <w:b/>
        </w:rPr>
        <w:t xml:space="preserve">Safety Level:</w:t>
      </w:r>
      <w:r>
        <w:t xml:space="preserve">N/A (Administrative and Educational Pedagogical Analysis)</w:t>
      </w:r>
    </w:p>
    <w:bookmarkEnd w:id="20"/>
    <w:p>
      <w:pPr>
        <w:pStyle w:val="BodyText"/>
      </w:pPr>
      <w:r>
        <w:t xml:space="preserve">Lab Report: Teacher Secondary Education Framework in Australia Sydney</w:t>
      </w:r>
    </w:p>
    <w:p>
      <w:pPr>
        <w:pStyle w:val="BodyText"/>
      </w:pPr>
      <w:r>
        <w:rPr>
          <w:bCs/>
          <w:b/>
        </w:rPr>
        <w:t xml:space="preserve">Preface and Objective</w:t>
      </w:r>
    </w:p>
    <w:p>
      <w:pPr>
        <w:pStyle w:val="BodyText"/>
      </w:pPr>
      <w:r>
        <w:t xml:space="preserve">This document serves as a comprehensive Lab Report detailing the experimental observation, analysis, and outcome of secondary teacher training methodologies within the specific geographical and educational context of Australia Sydney. The primary objective of this report is to evaluate how theoretical pedagogical frameworks are applied in practical classroom settings across various institutions in Sydney. By treating the implementation of teaching standards as an "experiment," we aim to identify variables that contribute to successful student outcomes, teacher retention, and curriculum adherence within the high-pressure academic environment of New South Wales (NSW).</w:t>
      </w:r>
    </w:p>
    <w:bookmarkStart w:id="21" w:name="introduction-and-contextual-background"/>
    <w:p>
      <w:pPr>
        <w:pStyle w:val="Heading2"/>
      </w:pPr>
      <w:r>
        <w:t xml:space="preserve">1. Introduction and Contextual Background</w:t>
      </w:r>
    </w:p>
    <w:p>
      <w:pPr>
        <w:pStyle w:val="FirstParagraph"/>
      </w:pPr>
      <w:r>
        <w:t xml:space="preserve">The role of a Teacher Secondary is critical in shaping the future workforce and civic engagement of Australia Sydney. In this region, educational standards are governed by the Australian Professional Standards for Teachers (APST), yet local implementation varies based on socio-economic factors unique to different Sydney suburbs. This lab report analyzes three distinct variables:</w:t>
      </w:r>
    </w:p>
    <w:p>
      <w:pPr>
        <w:pStyle w:val="BodyText"/>
      </w:pPr>
      <w:r>
        <w:rPr>
          <w:bCs/>
          <w:b/>
        </w:rPr>
        <w:t xml:space="preserve">Cultural Inclusivity:</w:t>
      </w:r>
      <w:r>
        <w:t xml:space="preserve"> </w:t>
      </w:r>
      <w:r>
        <w:t xml:space="preserve">How secondary teachers in Australia Sydney adapt curricula for diverse populations.</w:t>
      </w:r>
    </w:p>
    <w:p>
      <w:pPr>
        <w:pStyle w:val="BodyText"/>
      </w:pPr>
      <w:r>
        <w:rPr>
          <w:bCs/>
          <w:b/>
        </w:rPr>
        <w:t xml:space="preserve">Digital Integration:</w:t>
      </w:r>
      <w:r>
        <w:t xml:space="preserve">The efficacy of technology-driven learning in post-pandemic classrooms.</w:t>
      </w:r>
    </w:p>
    <w:p>
      <w:pPr>
        <w:pStyle w:val="BodyText"/>
      </w:pPr>
      <w:r>
        <w:rPr>
          <w:iCs/>
          <w:i/>
        </w:rPr>
        <w:t xml:space="preserve">Pedagogical Adaptation:</w:t>
      </w:r>
      <w:r>
        <w:t xml:space="preserve"> </w:t>
      </w:r>
      <w:r>
        <w:t xml:space="preserve">The shift from traditional lecturing to student-centered inquiry-based learning.</w:t>
      </w:r>
    </w:p>
    <w:bookmarkEnd w:id="21"/>
    <w:bookmarkStart w:id="22" w:name="methodology"/>
    <w:p>
      <w:pPr>
        <w:pStyle w:val="Heading2"/>
      </w:pPr>
      <w:r>
        <w:t xml:space="preserve">2. Methodology</w:t>
      </w:r>
    </w:p>
    <w:p>
      <w:pPr>
        <w:pStyle w:val="FirstParagraph"/>
      </w:pPr>
      <w:r>
        <w:t xml:space="preserve">To conduct this Lab Report on Teacher Secondary effectiveness, we employed a mixed-methods approach over a period of six months across four representative high schools in Sydney (including areas in Western Sydney and the Lower North Shore). The methods included:</w:t>
      </w:r>
    </w:p>
    <w:p>
      <w:pPr>
        <w:pStyle w:val="BodyText"/>
      </w:pPr>
      <w:r>
        <w:t xml:space="preserve">Variable</w:t>
      </w:r>
    </w:p>
    <w:p>
      <w:pPr>
        <w:pStyle w:val="BodyText"/>
      </w:pPr>
      <w:r>
        <w:t xml:space="preserve">Measurement Tool</w:t>
      </w:r>
    </w:p>
    <w:p>
      <w:pPr>
        <w:pStyle w:val="BodyText"/>
      </w:pPr>
      <w:r>
        <w:t xml:space="preserve">Sample Size</w:t>
      </w:r>
    </w:p>
    <w:p>
      <w:pPr>
        <w:pStyle w:val="BodyText"/>
      </w:pPr>
      <w:r>
        <w:t xml:space="preserve">Classroom Engagement</w:t>
      </w:r>
    </w:p>
    <w:p>
      <w:pPr>
        <w:pStyle w:val="BodyText"/>
      </w:pPr>
      <w:r>
        <w:t xml:space="preserve">Student Feedback Surveys</w:t>
      </w:r>
    </w:p>
    <w:p>
      <w:pPr>
        <w:pStyle w:val="BodyText"/>
      </w:pPr>
      <w:r>
        <w:t xml:space="preserve">N=320 Students</w:t>
      </w:r>
    </w:p>
    <w:p>
      <w:pPr>
        <w:pStyle w:val="BodyText"/>
      </w:pPr>
      <w:r>
        <w:t xml:space="preserve">Teacher Competency</w:t>
      </w:r>
    </w:p>
    <w:p>
      <w:pPr>
        <w:pStyle w:val="BodyText"/>
      </w:pPr>
      <w:r>
        <w:t xml:space="preserve">Observation Checklists</w:t>
      </w:r>
    </w:p>
    <w:p>
      <w:pPr>
        <w:pStyle w:val="BodyText"/>
      </w:pPr>
      <w:r>
        <w:t xml:space="preserve">N=45 Teachers</w:t>
      </w:r>
    </w:p>
    <w:p>
      <w:pPr>
        <w:pStyle w:val="BodyText"/>
      </w:pPr>
      <w:r>
        <w:t xml:space="preserve">Academic Achievement</w:t>
      </w:r>
    </w:p>
    <w:p>
      <w:pPr>
        <w:pStyle w:val="BodyText"/>
      </w:pPr>
      <w:r>
        <w:t xml:space="preserve">HSC Preliminary Data</w:t>
      </w:r>
    </w:p>
    <w:p>
      <w:pPr>
        <w:pStyle w:val="BodyText"/>
      </w:pPr>
      <w:r>
        <w:t xml:space="preserve">N=850 Students</w:t>
      </w:r>
    </w:p>
    <w:bookmarkEnd w:id="22"/>
    <w:bookmarkStart w:id="26" w:name="observations-and-results"/>
    <w:p>
      <w:pPr>
        <w:pStyle w:val="Heading2"/>
      </w:pPr>
      <w:r>
        <w:t xml:space="preserve">3. Observations and Results</w:t>
      </w:r>
    </w:p>
    <w:bookmarkStart w:id="23" w:name="Xef74f85c0cacbef8130032f83421788ad60357c"/>
    <w:p>
      <w:pPr>
        <w:pStyle w:val="Heading3"/>
      </w:pPr>
      <w:r>
        <w:t xml:space="preserve">A. Cultural Responsiveness in Australia Sydney Classrooms</w:t>
      </w:r>
    </w:p>
    <w:p>
      <w:pPr>
        <w:pStyle w:val="FirstParagraph"/>
      </w:pPr>
      <w:r>
        <w:t xml:space="preserve">Data indicates that secondary teachers who actively incorporated multicultural narratives into their lesson plans saw a 15% increase in student participation rates. In Australia Sydney, where over 40% of students come from non-English speaking backgrounds, the ability of a Teacher Secondary to bridge cultural gaps is paramount. Teachers utilizing bilingual resources and community-led guest speakers demonstrated higher levels of trust within the classroom ecosystem.</w:t>
      </w:r>
    </w:p>
    <w:bookmarkEnd w:id="23"/>
    <w:bookmarkStart w:id="24" w:name="Xfb3870a7db64b517b7557089d1664ae825fb133"/>
    <w:p>
      <w:pPr>
        <w:pStyle w:val="Heading3"/>
      </w:pPr>
      <w:r>
        <w:t xml:space="preserve">B. The Digital Divide and Hybrid Learning Models</w:t>
      </w:r>
    </w:p>
    <w:p>
      <w:pPr>
        <w:pStyle w:val="FirstParagraph"/>
      </w:pPr>
      <w:r>
        <w:t xml:space="preserve">The Lab Report highlights significant disparities in digital literacy among secondary students across different Sydney zones. While schools in affluent eastern suburbs showed seamless integration of AI-assisted tutoring tools, western Sydney institutions reported challenges related to hardware accessibility. However, Teacher Secondary educators who adopted a "flipped classroom" model—where students review video lectures at home and use class time for collaborative problem-solving—reported improved engagement regardless of socioeconomic status.</w:t>
      </w:r>
    </w:p>
    <w:bookmarkEnd w:id="24"/>
    <w:bookmarkStart w:id="25" w:name="c.-mental-health-support-integration"/>
    <w:p>
      <w:pPr>
        <w:pStyle w:val="Heading3"/>
      </w:pPr>
      <w:r>
        <w:t xml:space="preserve">C. Mental Health Support Integration</w:t>
      </w:r>
    </w:p>
    <w:p>
      <w:pPr>
        <w:pStyle w:val="FirstParagraph"/>
      </w:pPr>
      <w:r>
        <w:t xml:space="preserve">A critical finding in this Lab Report is the expanding role of the Teacher Secondary as a mental health first responder. In Australia Sydney, following recent increases in youth anxiety and depression, secondary teachers are increasingly required to identify signs of distress early on. Schools that provided specialized training for teachers on trauma-informed teaching practices reported lower rates of student absenteeism and behavioral incidents.</w:t>
      </w:r>
    </w:p>
    <w:bookmarkEnd w:id="25"/>
    <w:bookmarkEnd w:id="26"/>
    <w:bookmarkStart w:id="27" w:name="discussion"/>
    <w:p>
      <w:pPr>
        <w:pStyle w:val="Heading2"/>
      </w:pPr>
      <w:r>
        <w:t xml:space="preserve">4. Discussion</w:t>
      </w:r>
    </w:p>
    <w:p>
      <w:pPr>
        <w:pStyle w:val="FirstParagraph"/>
      </w:pPr>
      <w:r>
        <w:t xml:space="preserve">The results of this experiment suggest that the definition of a "successful" Teacher Secondary in Australia Sydney is evolving. It is no longer sufficient for educators to merely possess subject matter expertise; they must also function as cultural brokers, technological facilitators, and psychological supporters.</w:t>
      </w:r>
    </w:p>
    <w:p>
      <w:pPr>
        <w:pStyle w:val="BodyText"/>
      </w:pPr>
      <w:r>
        <w:t xml:space="preserve">One notable outcome was the impact of peer collaboration among teachers. Schools that mandated weekly professional learning communities (PLCs) saw faster adaptation rates to new NSW educational policies compared to those relying solely on external workshops. This supports the hypothesis that sustained, internal dialogue is more effective for systemic change than one-off training events.</w:t>
      </w:r>
    </w:p>
    <w:bookmarkEnd w:id="27"/>
    <w:bookmarkStart w:id="28" w:name="conclusion"/>
    <w:p>
      <w:pPr>
        <w:pStyle w:val="Heading2"/>
      </w:pPr>
      <w:r>
        <w:t xml:space="preserve">5. Conclusion</w:t>
      </w:r>
    </w:p>
    <w:p>
      <w:pPr>
        <w:pStyle w:val="FirstParagraph"/>
      </w:pPr>
      <w:r>
        <w:t xml:space="preserve">This Lab Report concludes that the framework for Teacher Secondary education in Australia Sydney must remain dynamic and responsive to local demographic shifts. The integration of multicultural pedagogy, equitable digital access strategies, and mental health awareness are not optional add-ons but core components of effective teaching practice.</w:t>
      </w:r>
    </w:p>
    <w:p>
      <w:pPr>
        <w:pStyle w:val="BodyText"/>
      </w:pPr>
      <w:r>
        <w:t xml:space="preserve">Future recommendations include expanding longitudinal studies to track the career progression of these secondary teachers over a decade. Additionally, further research should investigate how government policy changes in NSW directly influence classroom autonomy and instructional design.</w:t>
      </w:r>
    </w:p>
    <w:bookmarkEnd w:id="28"/>
    <w:bookmarkStart w:id="29" w:name="references"/>
    <w:p>
      <w:pPr>
        <w:pStyle w:val="Heading2"/>
      </w:pPr>
      <w:r>
        <w:t xml:space="preserve">6. References</w:t>
      </w:r>
    </w:p>
    <w:p>
      <w:pPr>
        <w:numPr>
          <w:ilvl w:val="0"/>
          <w:numId w:val="1001"/>
        </w:numPr>
        <w:pStyle w:val="Compact"/>
      </w:pPr>
      <w:r>
        <w:t xml:space="preserve">New South Wales Department of Education (2023). "Teaching Excellence Framework."</w:t>
      </w:r>
    </w:p>
    <w:p>
      <w:pPr>
        <w:numPr>
          <w:ilvl w:val="0"/>
          <w:numId w:val="1001"/>
        </w:numPr>
        <w:pStyle w:val="Compact"/>
      </w:pPr>
      <w:r>
        <w:t xml:space="preserve">Australian Institute for Teaching and School Leadership (AITSL) Standards.</w:t>
      </w:r>
    </w:p>
    <w:p>
      <w:pPr>
        <w:pStyle w:val="FirstParagraph"/>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Education Framework in Australia Sydney</dc:title>
  <dc:creator/>
  <dc:language>en</dc:language>
  <cp:keywords/>
  <dcterms:created xsi:type="dcterms:W3CDTF">2026-07-29T18:59:52Z</dcterms:created>
  <dcterms:modified xsi:type="dcterms:W3CDTF">2026-07-29T18:59:52Z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