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0" w:name="X0393e6ec9935b88a1001bfd273f1eb790ac1709"/>
    <w:p>
      <w:pPr>
        <w:pStyle w:val="Heading1"/>
      </w:pPr>
      <w:r>
        <w:t xml:space="preserve">Laboratory Report: Evaluation of Secondary Education Teachers in Bangladesh Dhaka</w:t>
      </w:r>
    </w:p>
    <w:p>
      <w:pPr>
        <w:pStyle w:val="FirstParagraph"/>
      </w:pPr>
      <w:r>
        <w:rPr>
          <w:bCs/>
          <w:b/>
        </w:rPr>
        <w:t xml:space="preserve">Date:</w:t>
      </w:r>
      <w:r>
        <w:t xml:space="preserve"> </w:t>
      </w:r>
      <w:r>
        <w:t xml:space="preserve">October 26, 2023</w:t>
      </w:r>
    </w:p>
    <w:p>
      <w:pPr>
        <w:pStyle w:val="BodyText"/>
      </w:pPr>
      <w:r>
        <w:rPr>
          <w:bCs/>
          <w:b/>
        </w:rPr>
        <w:t xml:space="preserve">Prepared For:</w:t>
      </w:r>
    </w:p>
    <w:p>
      <w:pPr>
        <w:pStyle w:val="BodyText"/>
      </w:pPr>
      <w:r>
        <w:rPr>
          <w:bCs/>
          <w:b/>
        </w:rPr>
        <w:t xml:space="preserve">Laboratory/Study Context: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of secondary education teachers in Dhaka, Bangladesh. The study aims to evaluate pedagogical effectiveness, resource utilization, and professional development opportunities available to educators within the urban context of Dhaka. By treating educational assessment as a scientific "lab" experiment, we isolate variables such as class size, digital literacy training, and curriculum adherence to determine their impact on student outcomes.</w:t>
      </w:r>
    </w:p>
    <w:bookmarkEnd w:id="21"/>
    <w:bookmarkStart w:id="22" w:name="introduction"/>
    <w:p>
      <w:pPr>
        <w:pStyle w:val="Heading2"/>
      </w:pPr>
      <w:r>
        <w:t xml:space="preserve">2. Introduction</w:t>
      </w:r>
    </w:p>
    <w:p>
      <w:pPr>
        <w:pStyle w:val="FirstParagraph"/>
      </w:pPr>
      <w:r>
        <w:t xml:space="preserve">Dhaka serves as the economic and cultural heart of Bangladesh, but it also presents unique challenges for its educational infrastructure. The density of the city impacts school environments significantly. This report focuses specifically on</w:t>
      </w:r>
      <w:r>
        <w:t xml:space="preserve"> </w:t>
      </w:r>
      <w:r>
        <w:rPr>
          <w:bCs/>
          <w:b/>
        </w:rPr>
        <w:t xml:space="preserve">Teacher Secondary</w:t>
      </w:r>
      <w:r>
        <w:t xml:space="preserve">, examining how educators in secondary schools (grades 9-12) are coping with these urban pressures. The objective is to identify gaps in teaching methodologies and propose data-driven solutions tailored to the specific demographic and logistical realities of</w:t>
      </w:r>
      <w:r>
        <w:t xml:space="preserve"> </w:t>
      </w:r>
      <w:r>
        <w:rPr>
          <w:bCs/>
          <w:b/>
        </w:rPr>
        <w:t xml:space="preserve">Bangladesh Dhaka</w:t>
      </w:r>
      <w:r>
        <w:t xml:space="preserve">.</w:t>
      </w:r>
    </w:p>
    <w:bookmarkEnd w:id="22"/>
    <w:bookmarkStart w:id="23" w:name="methodology"/>
    <w:p>
      <w:pPr>
        <w:pStyle w:val="Heading2"/>
      </w:pPr>
      <w:r>
        <w:t xml:space="preserve">3. Methodology</w:t>
      </w:r>
    </w:p>
    <w:p>
      <w:pPr>
        <w:pStyle w:val="FirstParagraph"/>
      </w:pPr>
      <w:r>
        <w:t xml:space="preserve">The study employed a mixed-methods approach, combining quantitative data analysis with qualitative field observations conducted across five diverse schools in different zones of Dhaka (Gulshan, Dhanmondi, Uttara, Mirpur, and Old Dhaka).</w:t>
      </w:r>
      <w:r>
        <w:t xml:space="preserve"> </w:t>
      </w:r>
      <w:r>
        <w:rPr>
          <w:bCs/>
          <w:b/>
        </w:rPr>
        <w:t xml:space="preserve">Lab Report</w:t>
      </w:r>
      <w:r>
        <w:t xml:space="preserve"> </w:t>
      </w:r>
      <w:r>
        <w:t xml:space="preserve">protocols were strictly followed to ensure reproducibility:</w:t>
      </w:r>
    </w:p>
    <w:p>
      <w:pPr>
        <w:numPr>
          <w:ilvl w:val="0"/>
          <w:numId w:val="1001"/>
        </w:numPr>
        <w:pStyle w:val="Compact"/>
      </w:pPr>
      <w:r>
        <w:rPr>
          <w:bCs/>
          <w:b/>
        </w:rPr>
        <w:t xml:space="preserve">Data Collection:</w:t>
      </w:r>
    </w:p>
    <w:p>
      <w:pPr>
        <w:numPr>
          <w:ilvl w:val="0"/>
          <w:numId w:val="1001"/>
        </w:numPr>
        <w:pStyle w:val="Compact"/>
      </w:pPr>
      <w:r>
        <w:rPr>
          <w:bCs/>
          <w:b/>
        </w:rPr>
        <w:t xml:space="preserve">OBSERVATIONS:</w:t>
      </w:r>
    </w:p>
    <w:p>
      <w:pPr>
        <w:numPr>
          <w:ilvl w:val="0"/>
          <w:numId w:val="1001"/>
        </w:numPr>
        <w:pStyle w:val="Compact"/>
      </w:pPr>
      <w:r>
        <w:rPr>
          <w:bCs/>
          <w:b/>
        </w:rPr>
        <w:t xml:space="preserve">VARIABLES ANALYZED:</w:t>
      </w:r>
    </w:p>
    <w:bookmarkEnd w:id="23"/>
    <w:bookmarkStart w:id="27" w:name="results"/>
    <w:p>
      <w:pPr>
        <w:pStyle w:val="Heading2"/>
      </w:pPr>
      <w:r>
        <w:t xml:space="preserve">4. Results</w:t>
      </w:r>
    </w:p>
    <w:bookmarkStart w:id="24" w:name="teacher-competency-and-digital-literacy"/>
    <w:p>
      <w:pPr>
        <w:pStyle w:val="Heading3"/>
      </w:pPr>
      <w:r>
        <w:t xml:space="preserve">4.1 Teacher Competency and Digital Literacy</w:t>
      </w:r>
    </w:p>
    <w:p>
      <w:pPr>
        <w:pStyle w:val="FirstParagraph"/>
      </w:pPr>
      <w:r>
        <w:t xml:space="preserve">The data indicates a significant disparity in digital literacy among</w:t>
      </w:r>
      <w:r>
        <w:t xml:space="preserve"> </w:t>
      </w:r>
      <w:r>
        <w:rPr>
          <w:bCs/>
          <w:b/>
        </w:rPr>
        <w:t xml:space="preserve">Teacher Secondary</w:t>
      </w:r>
      <w:r>
        <w:t xml:space="preserve">s in Dhaka. While 60% of teachers in private institutions reported comfort with using projectors and smart boards, only 25% of teachers in government-run schools felt similarly equipped. This gap highlights an urgent need for targeted training programs specific to the</w:t>
      </w:r>
      <w:r>
        <w:t xml:space="preserve"> </w:t>
      </w:r>
      <w:r>
        <w:rPr>
          <w:bCs/>
          <w:b/>
        </w:rPr>
        <w:t xml:space="preserve">Bangladesh Dhaka</w:t>
      </w:r>
      <w:r>
        <w:t xml:space="preserve"> </w:t>
      </w:r>
      <w:r>
        <w:t xml:space="preserve">urban center, where technological integration is increasingly demanded by the national curriculum.</w:t>
      </w:r>
    </w:p>
    <w:bookmarkEnd w:id="24"/>
    <w:bookmarkStart w:id="25" w:name="classroom-management-challenges"/>
    <w:p>
      <w:pPr>
        <w:pStyle w:val="Heading3"/>
      </w:pPr>
      <w:r>
        <w:t xml:space="preserve">4.2 Classroom Management Challenges</w:t>
      </w:r>
    </w:p>
    <w:p>
      <w:pPr>
        <w:pStyle w:val="FirstParagraph"/>
      </w:pPr>
      <w:r>
        <w:t xml:space="preserve">A major finding of this</w:t>
      </w:r>
      <w:r>
        <w:t xml:space="preserve"> </w:t>
      </w:r>
      <w:r>
        <w:rPr>
          <w:bCs/>
          <w:b/>
        </w:rPr>
        <w:t xml:space="preserve">Laboratory Report</w:t>
      </w:r>
      <w:r>
        <w:t xml:space="preserve"> </w:t>
      </w:r>
      <w:r>
        <w:t xml:space="preserve">is the impact of overcrowding. The average class size in secondary schools within central Dhaka was recorded at 55 students per teacher, far exceeding the recommended ratio of 1:30. Observations revealed that teachers often resorted to lecture-based teaching rather than interactive methods due to time constraints and noise levels inherent in such environments.</w:t>
      </w:r>
    </w:p>
    <w:bookmarkEnd w:id="25"/>
    <w:bookmarkStart w:id="26" w:name="professional-development-opportunities"/>
    <w:p>
      <w:pPr>
        <w:pStyle w:val="Heading3"/>
      </w:pPr>
      <w:r>
        <w:t xml:space="preserve">4.3 Professional Development Opportunities</w:t>
      </w:r>
    </w:p>
    <w:p>
      <w:pPr>
        <w:pStyle w:val="FirstParagraph"/>
      </w:pPr>
      <w:r>
        <w:t xml:space="preserve">Survey results show that 70% of secondary teachers in Dhaka feel they receive insufficient ongoing training. While initial certification is rigorous, the rapid changes in educational technology and pedagogy require continuous learning modules which are currently lacking for many educators in</w:t>
      </w:r>
      <w:r>
        <w:t xml:space="preserve"> </w:t>
      </w:r>
      <w:r>
        <w:rPr>
          <w:bCs/>
          <w:b/>
        </w:rPr>
        <w:t xml:space="preserve">Bangladesh Dhaka</w:t>
      </w:r>
      <w:r>
        <w:t xml:space="preserve">.</w:t>
      </w:r>
    </w:p>
    <w:bookmarkEnd w:id="26"/>
    <w:bookmarkEnd w:id="27"/>
    <w:bookmarkStart w:id="28" w:name="discussion"/>
    <w:p>
      <w:pPr>
        <w:pStyle w:val="Heading2"/>
      </w:pPr>
      <w:r>
        <w:t xml:space="preserve">5. Discussion</w:t>
      </w:r>
    </w:p>
    <w:p>
      <w:pPr>
        <w:pStyle w:val="FirstParagraph"/>
      </w:pPr>
      <w:r>
        <w:t xml:space="preserve">The findings suggest that while the foundational knowledge of</w:t>
      </w:r>
      <w:r>
        <w:t xml:space="preserve"> </w:t>
      </w:r>
      <w:r>
        <w:rPr>
          <w:bCs/>
          <w:b/>
        </w:rPr>
        <w:t xml:space="preserve">Teacher Secondary</w:t>
      </w:r>
      <w:r>
        <w:t xml:space="preserve">s in Dhaka is strong, their adaptability to modern educational demands is hindered by structural issues. The term "Lab Report" implies a controlled experiment, but the reality on the ground in</w:t>
      </w:r>
      <w:r>
        <w:t xml:space="preserve"> </w:t>
      </w:r>
      <w:r>
        <w:rPr>
          <w:bCs/>
          <w:b/>
        </w:rPr>
        <w:t xml:space="preserve">Bangladesh Dhaka</w:t>
      </w:r>
      <w:r>
        <w:t xml:space="preserve"> </w:t>
      </w:r>
      <w:r>
        <w:t xml:space="preserve">is complex and variable. However, by treating each school as a distinct data point within this broader laboratory of education, we can see clear patterns.</w:t>
      </w:r>
    </w:p>
    <w:p>
      <w:pPr>
        <w:pStyle w:val="BodyText"/>
      </w:pPr>
      <w:r>
        <w:t xml:space="preserve">The lack of digital resources in public sector schools creates an inequality gap that widens over time. Students in under-resourced areas do not gain the necessary digital skills for the modern workforce. Furthermore, the high stress levels reported by teachers correlate with higher absenteeism and burnout rates, which directly impacts student retention and performance.</w:t>
      </w:r>
    </w:p>
    <w:bookmarkEnd w:id="28"/>
    <w:bookmarkStart w:id="29" w:name="recommendations"/>
    <w:p>
      <w:pPr>
        <w:pStyle w:val="Heading2"/>
      </w:pPr>
      <w:r>
        <w:t xml:space="preserve">6. Recommendations</w:t>
      </w:r>
    </w:p>
    <w:p>
      <w:pPr>
        <w:numPr>
          <w:ilvl w:val="0"/>
          <w:numId w:val="1002"/>
        </w:numPr>
        <w:pStyle w:val="Compact"/>
      </w:pPr>
      <w:r>
        <w:rPr>
          <w:bCs/>
          <w:b/>
        </w:rPr>
        <w:t xml:space="preserve">Tech-Integration Workshops:</w:t>
      </w:r>
    </w:p>
    <w:p>
      <w:pPr>
        <w:numPr>
          <w:ilvl w:val="0"/>
          <w:numId w:val="1002"/>
        </w:numPr>
        <w:pStyle w:val="Compact"/>
      </w:pPr>
      <w:r>
        <w:rPr>
          <w:bCs/>
          <w:b/>
        </w:rPr>
        <w:t xml:space="preserve">Pedagogical Shifts:</w:t>
      </w:r>
    </w:p>
    <w:p>
      <w:pPr>
        <w:numPr>
          <w:ilvl w:val="0"/>
          <w:numId w:val="1002"/>
        </w:numPr>
        <w:pStyle w:val="Compact"/>
      </w:pPr>
      <w:r>
        <w:rPr>
          <w:bCs/>
          <w:b/>
        </w:rPr>
        <w:t xml:space="preserve">Policy Review:</w:t>
      </w:r>
      <w:r>
        <w:t xml:space="preserve">Bangladesh Dhaka.</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underscores the critical role that secondary teachers play in shaping the future of Bangladesh. Despite the challenges faced by educators in the bustling metropolis of Dhaka, they remain resilient and dedicated. By addressing the identified gaps through structured intervention and resource allocation, we can enhance the quality of education delivered to students across</w:t>
      </w:r>
      <w:r>
        <w:t xml:space="preserve"> </w:t>
      </w:r>
      <w:r>
        <w:rPr>
          <w:bCs/>
          <w:b/>
        </w:rPr>
        <w:t xml:space="preserve">Bangladesh Dhaka</w:t>
      </w:r>
      <w:r>
        <w:t xml:space="preserve">. The success of this educational "experiment" depends on collaborative efforts between policymakers, school administrators, and the teachers themselves.</w:t>
      </w:r>
    </w:p>
    <w:p>
      <w:r>
        <w:pict>
          <v:rect style="width:0;height:1.5pt" o:hralign="center" o:hrstd="t" o:hr="t"/>
        </w:pict>
      </w:r>
    </w:p>
    <w:p>
      <w:pPr>
        <w:pStyle w:val="FirstParagraph"/>
      </w:pPr>
      <w:r>
        <w:rPr>
          <w:iCs/>
          <w:i/>
        </w:rPr>
        <w:t xml:space="preserve">Note: This document is a simulated Laboratory Report for illustrative purposes regarding educational assessment in Secondary Schools within Bangladesh Dhaka.</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in Bangladesh Dhaka</dc:title>
  <dc:creator/>
  <dc:language>en</dc:language>
  <cp:keywords/>
  <dcterms:created xsi:type="dcterms:W3CDTF">2026-07-29T14:05:04Z</dcterms:created>
  <dcterms:modified xsi:type="dcterms:W3CDTF">2026-07-29T14:05:04Z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