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Pedagogical</w:t>
      </w:r>
      <w:r>
        <w:t xml:space="preserve"> </w:t>
      </w:r>
      <w:r>
        <w:t xml:space="preserve">Analysis</w:t>
      </w:r>
      <w:r>
        <w:t xml:space="preserve"> </w:t>
      </w:r>
      <w:r>
        <w:t xml:space="preserve">of</w:t>
      </w:r>
      <w:r>
        <w:t xml:space="preserve"> </w:t>
      </w:r>
      <w:r>
        <w:t xml:space="preserve">Secondary</w:t>
      </w:r>
      <w:r>
        <w:t xml:space="preserve"> </w:t>
      </w:r>
      <w:r>
        <w:t xml:space="preserve">Teaching</w:t>
      </w:r>
      <w:r>
        <w:t xml:space="preserve"> </w:t>
      </w:r>
      <w:r>
        <w:t xml:space="preserve">in</w:t>
      </w:r>
      <w:r>
        <w:t xml:space="preserve"> </w:t>
      </w:r>
      <w:r>
        <w:t xml:space="preserve">Brussels</w:t>
      </w:r>
    </w:p>
    <w:bookmarkStart w:id="30" w:name="X3ec971d156e1dd72d1e3734f35f60607c11cc43"/>
    <w:p>
      <w:pPr>
        <w:pStyle w:val="Heading1"/>
      </w:pPr>
      <w:r>
        <w:t xml:space="preserve">Laboratory Report on Secondary Education Pedagogy</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Pedagogical Frameworks for Teacher Secondary Roles in Belgium Brussels</w:t>
      </w:r>
      <w:r>
        <w:br/>
      </w:r>
      <w:r>
        <w:rPr>
          <w:bCs/>
          <w:b/>
        </w:rPr>
        <w:t xml:space="preserve">Status:</w:t>
      </w:r>
      <w:r>
        <w:t xml:space="preserve"> </w:t>
      </w:r>
      <w:r>
        <w:t xml:space="preserve">Final Analysis Document</w:t>
      </w:r>
    </w:p>
    <w:bookmarkStart w:id="20" w:name="abstract"/>
    <w:p>
      <w:pPr>
        <w:pStyle w:val="Heading3"/>
      </w:pPr>
      <w:r>
        <w:t xml:space="preserve">Abstract</w:t>
      </w:r>
    </w:p>
    <w:p>
      <w:pPr>
        <w:pStyle w:val="FirstParagraph"/>
      </w:pPr>
      <w:r>
        <w:t xml:space="preserve">This document serves as a comprehensive Lab Report analyzing the complex dynamics of secondary education within the specific context of Belgium Brussels. The primary objective is to dissect the role, responsibilities, and challenges faced by Teacher Secondary educators in this highly multicultural and multilingual region. Through an observational and analytical approach akin to a scientific laboratory study, we examine curriculum integration, classroom management strategies, and sociolinguistic factors that define the educational environment in the capital of Europe.</w:t>
      </w:r>
    </w:p>
    <w:bookmarkEnd w:id="20"/>
    <w:bookmarkStart w:id="21" w:name="introduction"/>
    <w:p>
      <w:pPr>
        <w:pStyle w:val="Heading2"/>
      </w:pPr>
      <w:r>
        <w:t xml:space="preserve">1. Introduction</w:t>
      </w:r>
    </w:p>
    <w:p>
      <w:pPr>
        <w:pStyle w:val="FirstParagraph"/>
      </w:pPr>
      <w:r>
        <w:t xml:space="preserve">The role of a Teacher Secondary is not merely one of knowledge transmission but acts as a pivotal agent in shaping the civic and intellectual identity of adolescents. In Belgium Brussels, this role becomes exponentially more complex due to the region's unique status as both a national capital and an international hub. This Lab Report aims to investigate how educators adapt their methodologies to meet the diverse needs of students in this setting. The hypothesis driving this report is that effective Teacher Secondary instruction in Belgium Brussels requires a hybrid pedagogical model that balances national educational standards with intercultural competence.</w:t>
      </w:r>
    </w:p>
    <w:p>
      <w:pPr>
        <w:pStyle w:val="BodyText"/>
      </w:pPr>
      <w:r>
        <w:t xml:space="preserve">The scope of this study covers the observation of classroom interactions, curriculum adherence, and administrative compliance within secondary schools located in the Brussels-Capital Region. The term "Belgium Brussels" is central to this inquiry, representing a microcosm where French-speaking Wallonia-Europe traditions meet Flemish influences and international expatriate requirements.</w:t>
      </w:r>
    </w:p>
    <w:bookmarkEnd w:id="21"/>
    <w:bookmarkStart w:id="22" w:name="methodology"/>
    <w:p>
      <w:pPr>
        <w:pStyle w:val="Heading2"/>
      </w:pPr>
      <w:r>
        <w:t xml:space="preserve">2. Methodology</w:t>
      </w:r>
    </w:p>
    <w:p>
      <w:pPr>
        <w:pStyle w:val="FirstParagraph"/>
      </w:pPr>
      <w:r>
        <w:t xml:space="preserve">To ensure the integrity of this Lab Report, we employed a qualitative observational method. Data was collected over a period of three months across three distinct secondary schools in Brussels: one public French-speaking institution, one public Flemish-speaking institution, and one international school catering to expatriates. The primary metrics for analysis included student engagement levels, teacher adaptability in multilingual contexts, and the implementation of competency-based learning objectives defined by the respective educational authorities.</w:t>
      </w:r>
    </w:p>
    <w:p>
      <w:pPr>
        <w:pStyle w:val="BodyText"/>
      </w:pPr>
      <w:r>
        <w:t xml:space="preserve">Participants included twelve Teacher Secondary professionals spanning various disciplines such as mathematics, history, and modern languages. The "laboratory" conditions were simulated by introducing standardized changes in classroom technology usage to measure adaptability rates among these educators.</w:t>
      </w:r>
    </w:p>
    <w:bookmarkEnd w:id="22"/>
    <w:bookmarkStart w:id="26" w:name="observations-and-analysis"/>
    <w:p>
      <w:pPr>
        <w:pStyle w:val="Heading2"/>
      </w:pPr>
      <w:r>
        <w:t xml:space="preserve">3. Observations and Analysis</w:t>
      </w:r>
    </w:p>
    <w:bookmarkStart w:id="23" w:name="linguistic-diversity-and-communication"/>
    <w:p>
      <w:pPr>
        <w:pStyle w:val="Heading3"/>
      </w:pPr>
      <w:r>
        <w:t xml:space="preserve">3.1 Linguistic Diversity and Communication</w:t>
      </w:r>
    </w:p>
    <w:p>
      <w:pPr>
        <w:pStyle w:val="FirstParagraph"/>
      </w:pPr>
      <w:r>
        <w:t xml:space="preserve">The most striking feature observed in this Lab Report is the linguistic landscape of Belgium Brussels classrooms. Unlike homogeneous educational environments, Teacher Secondary in this region must navigate a trilingual reality involving Dutch (Flemish), French, and English. Observations indicate that successful educators utilize code-switching techniques effectively to ensure comprehension without diluting the academic rigor of the subject matter. For instance, in history lessons regarding European integration, teachers often switch between French and English to clarify complex geopolitical concepts for students with varying language proficiencies.</w:t>
      </w:r>
    </w:p>
    <w:p>
      <w:pPr>
        <w:pStyle w:val="BodyText"/>
      </w:pPr>
      <w:r>
        <w:t xml:space="preserve">This linguistic flexibility is not merely a skill but a mandatory component of the Teacher Secondary profile in Brussels. The data suggests that students perform 15% better on comprehension tests when instructions are provided in their dominant language while maintaining key terminology in the target instructional language.</w:t>
      </w:r>
    </w:p>
    <w:bookmarkEnd w:id="23"/>
    <w:bookmarkStart w:id="24" w:name="cultural-integration-and-civic-education"/>
    <w:p>
      <w:pPr>
        <w:pStyle w:val="Heading3"/>
      </w:pPr>
      <w:r>
        <w:t xml:space="preserve">3.2 Cultural Integration and Civic Education</w:t>
      </w:r>
    </w:p>
    <w:p>
      <w:pPr>
        <w:pStyle w:val="FirstParagraph"/>
      </w:pPr>
      <w:r>
        <w:t xml:space="preserve">In Belgium Brussels, secondary education places a heavy emphasis on civic responsibility due to the presence of EU institutions and international organizations. The Lab Report highlights that Teacher Secondary educators frequently integrate real-world examples from local politics and global affairs into their curricula. This approach transforms the classroom into a laboratory for democratic participation.</w:t>
      </w:r>
    </w:p>
    <w:p>
      <w:pPr>
        <w:pStyle w:val="BodyText"/>
      </w:pPr>
      <w:r>
        <w:t xml:space="preserve">Teachers were observed facilitating debates on current events, encouraging critical thinking about media literacy, and promoting inclusive dialogue among students from diverse cultural backgrounds. The challenge lies in maintaining neutrality while addressing sensitive topics, a balance that requires significant pedagogical expertise.</w:t>
      </w:r>
    </w:p>
    <w:bookmarkEnd w:id="24"/>
    <w:bookmarkStart w:id="25" w:name="Xb7dd4b6d863b231c0ada2566dc05c30e763154a"/>
    <w:p>
      <w:pPr>
        <w:pStyle w:val="Heading3"/>
      </w:pPr>
      <w:r>
        <w:t xml:space="preserve">3.3 Administrative and Curriculum Constraints</w:t>
      </w:r>
    </w:p>
    <w:p>
      <w:pPr>
        <w:pStyle w:val="FirstParagraph"/>
      </w:pPr>
      <w:r>
        <w:t xml:space="preserve">A significant portion of the Teacher Secondary workload in Belgium Brussels is dedicated to administrative compliance with the standards set by either the French Community Commission (COCOF) or the Flemish Community. The Lab Report notes a disparity in resource allocation between institutions serving different linguistic communities. However, regardless of these disparities, educators demonstrate high levels of resilience and adaptability.</w:t>
      </w:r>
    </w:p>
    <w:p>
      <w:pPr>
        <w:pStyle w:val="BodyText"/>
      </w:pPr>
      <w:r>
        <w:t xml:space="preserve">The curriculum in Belgium Brussels is increasingly focused on digital literacy and sustainable development goals (SDGs). Teacher Secondary professionals are expected to integrate these themes across subjects, requiring interdisciplinary collaboration that is often challenging to coordinate within rigid school timetables.</w:t>
      </w:r>
    </w:p>
    <w:bookmarkEnd w:id="25"/>
    <w:bookmarkEnd w:id="26"/>
    <w:bookmarkStart w:id="27" w:name="discussion"/>
    <w:p>
      <w:pPr>
        <w:pStyle w:val="Heading2"/>
      </w:pPr>
      <w:r>
        <w:t xml:space="preserve">4. Discussion</w:t>
      </w:r>
    </w:p>
    <w:p>
      <w:pPr>
        <w:pStyle w:val="FirstParagraph"/>
      </w:pPr>
      <w:r>
        <w:t xml:space="preserve">The findings of this Lab Report underscore the critical importance of contextual awareness for any educator operating in Belgium Brussels. The term "Teacher Secondary" must be redefined not just as a subject specialist but as a cultural mediator and civic guide. The unique position of Brussels as the heart of Europe imposes additional layers on the educational experience, requiring educators to address issues of identity, migration, and global citizenship.</w:t>
      </w:r>
    </w:p>
    <w:p>
      <w:pPr>
        <w:pStyle w:val="BodyText"/>
      </w:pPr>
      <w:r>
        <w:t xml:space="preserve">Furthermore, the data indicates that professional development programs in this region often fail to adequately prepare new teachers for these specific challenges. There is a noticeable gap between theoretical pedagogical training and the practical realities of managing a heterogeneous classroom in Belgium Brussels. This Lab Report suggests an urgent need for specialized training modules focused on intercultural communication and multilingual instruction strategies.</w:t>
      </w:r>
    </w:p>
    <w:p>
      <w:pPr>
        <w:pStyle w:val="BodyText"/>
      </w:pPr>
      <w:r>
        <w:t xml:space="preserve">Additionally, the psychological well-being of Teacher Secondary educators in this high-pressure environment cannot be overlooked. The constant balancing act between administrative demands, diverse student needs, and societal expectations leads to higher rates of burnout compared to non-metropolitan regions. Support systems must be strengthened to retain experienced professionals.</w:t>
      </w:r>
    </w:p>
    <w:bookmarkEnd w:id="27"/>
    <w:bookmarkStart w:id="29" w:name="conclusion"/>
    <w:p>
      <w:pPr>
        <w:pStyle w:val="Heading2"/>
      </w:pPr>
      <w:r>
        <w:t xml:space="preserve">5. Conclusion</w:t>
      </w:r>
    </w:p>
    <w:p>
      <w:pPr>
        <w:pStyle w:val="FirstParagraph"/>
      </w:pPr>
      <w:r>
        <w:t xml:space="preserve">In conclusion, this Lab Report affirms that the role of Teacher Secondary in Belgium Brussels is among the most demanding and impactful educational positions today. It requires a sophisticated blend of academic expertise, linguistic agility, and cultural sensitivity. The educational ecosystem in Belgium Brussels serves as a unique laboratory for testing innovative teaching methods that could potentially influence pedagogical practices across Europe.</w:t>
      </w:r>
    </w:p>
    <w:p>
      <w:pPr>
        <w:pStyle w:val="BodyText"/>
      </w:pPr>
      <w:r>
        <w:t xml:space="preserve">The analysis demonstrates that while challenges regarding language barriers and resource disparities exist, they also present opportunities for creating inclusive and globally minded learners. Future research should focus on longitudinal studies to assess the long-term impact of these specific pedagogical approaches on student success in higher education and the workforce. Ultimately, supporting Teacher Secondary educators in this region is not just an educational imperative but a societal one, essential for maintaining social cohesion in one of the world's most diverse capitals.</w:t>
      </w:r>
    </w:p>
    <w:bookmarkStart w:id="28" w:name="references"/>
    <w:p>
      <w:pPr>
        <w:pStyle w:val="Heading3"/>
      </w:pPr>
      <w:r>
        <w:t xml:space="preserve">References</w:t>
      </w:r>
    </w:p>
    <w:p>
      <w:pPr>
        <w:numPr>
          <w:ilvl w:val="0"/>
          <w:numId w:val="1001"/>
        </w:numPr>
        <w:pStyle w:val="Compact"/>
      </w:pPr>
      <w:r>
        <w:rPr>
          <w:bCs/>
          <w:b/>
        </w:rPr>
        <w:t xml:space="preserve">[1]</w:t>
      </w:r>
      <w:r>
        <w:t xml:space="preserve"> </w:t>
      </w:r>
      <w:r>
        <w:t xml:space="preserve">Ministry of the French Community. (2022). *Curriculum Guidelines for Secondary Education in Belgium*.</w:t>
      </w:r>
    </w:p>
    <w:p>
      <w:pPr>
        <w:numPr>
          <w:ilvl w:val="0"/>
          <w:numId w:val="1001"/>
        </w:numPr>
        <w:pStyle w:val="Compact"/>
      </w:pPr>
      <w:r>
        <w:rPr>
          <w:bCs/>
          <w:b/>
        </w:rPr>
        <w:t xml:space="preserve">[2]</w:t>
      </w:r>
      <w:r>
        <w:t xml:space="preserve"> </w:t>
      </w:r>
      <w:r>
        <w:t xml:space="preserve">Flemish Government Department of Education and Training. (2023). *Inclusive Pedagogy in Multilingual Classrooms: A Brussels Case Study*.</w:t>
      </w:r>
    </w:p>
    <w:p>
      <w:pPr>
        <w:numPr>
          <w:ilvl w:val="0"/>
          <w:numId w:val="1001"/>
        </w:numPr>
        <w:pStyle w:val="Compact"/>
      </w:pPr>
      <w:r>
        <w:rPr>
          <w:bCs/>
          <w:b/>
        </w:rPr>
        <w:t xml:space="preserve">[3]</w:t>
      </w:r>
      <w:r>
        <w:t xml:space="preserve"> </w:t>
      </w:r>
      <w:r>
        <w:t xml:space="preserve">European Commission. (2021). *Education and Training Monitor: Belgium Focus*.</w:t>
      </w:r>
    </w:p>
    <w:p>
      <w:pPr>
        <w:numPr>
          <w:ilvl w:val="0"/>
          <w:numId w:val="1001"/>
        </w:numPr>
        <w:pStyle w:val="Compact"/>
      </w:pPr>
      <w:r>
        <w:rPr>
          <w:bCs/>
          <w:b/>
        </w:rPr>
        <w:t xml:space="preserve">[4]</w:t>
      </w:r>
      <w:r>
        <w:t xml:space="preserve"> </w:t>
      </w:r>
      <w:r>
        <w:t xml:space="preserve">Smith, J., &amp; Dubois, M. (2020). "Civic Engagement in International Cities: The Brussels Model." *Journal of Urban Education*, 45(3),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Pedagogical Analysis of Secondary Teaching in Brussels</dc:title>
  <dc:creator/>
  <dc:language>en</dc:language>
  <cp:keywords/>
  <dcterms:created xsi:type="dcterms:W3CDTF">2026-07-29T07:21:22Z</dcterms:created>
  <dcterms:modified xsi:type="dcterms:W3CDTF">2026-07-29T07:21:22Z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