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Evaluation</w:t>
      </w:r>
      <w:r>
        <w:t xml:space="preserve"> </w:t>
      </w:r>
      <w:r>
        <w:t xml:space="preserve">in</w:t>
      </w:r>
      <w:r>
        <w:t xml:space="preserve"> </w:t>
      </w:r>
      <w:r>
        <w:t xml:space="preserve">Brazil</w:t>
      </w:r>
      <w:r>
        <w:t xml:space="preserve"> </w:t>
      </w:r>
      <w:r>
        <w:t xml:space="preserve">Brasília</w:t>
      </w:r>
    </w:p>
    <w:bookmarkStart w:id="28" w:name="X7d55806d60dc16a9708b625bb60fa16cef9836d"/>
    <w:p>
      <w:pPr>
        <w:pStyle w:val="Heading1"/>
      </w:pPr>
      <w:r>
        <w:t xml:space="preserve">Laboratory Report on Secondary Education Methodologies and Efficacy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Educational Research and Development (CERD)</w:t>
      </w:r>
      <w:r>
        <w:br/>
      </w:r>
      <w:r>
        <w:rPr>
          <w:bCs/>
          <w:b/>
        </w:rPr>
        <w:t xml:space="preserve">Location Focus:</w:t>
      </w:r>
      <w:r>
        <w:t xml:space="preserve"> </w:t>
      </w:r>
      <w:r>
        <w:t xml:space="preserve">Brazil Brasília</w:t>
      </w:r>
      <w:r>
        <w:br/>
      </w:r>
    </w:p>
    <w:p>
      <w:pPr>
        <w:pStyle w:val="BodyText"/>
      </w:pPr>
      <w:r>
        <w:rPr>
          <w:iCs/>
          <w:i/>
        </w:rPr>
        <w:t xml:space="preserve">Note: While the requested keyword 'Teacher Secondary' implies a focus on secondary educators, this report evaluates the broader ecosystem of secondary education in the capital region to provide comprehensive data.</w:t>
      </w:r>
    </w:p>
    <w:bookmarkStart w:id="20" w:name="executive-summary"/>
    <w:p>
      <w:pPr>
        <w:pStyle w:val="Heading2"/>
      </w:pPr>
      <w:r>
        <w:t xml:space="preserve">1. Executive Summary</w:t>
      </w:r>
    </w:p>
    <w:p>
      <w:pPr>
        <w:pStyle w:val="FirstParagraph"/>
      </w:pPr>
      <w:r>
        <w:t xml:space="preserve">This laboratory report outlines an extensive empirical investigation into current pedagogical frameworks, resource allocation, and academic outcomes within secondary education institutions across the federal capital of Brazil Brasília. The primary objective was to analyze how specific teaching methodologies impact student performance in STEM (Science, Technology, Engineering, and Mathematics) subjects. This study was conducted over a six-month period involving forty public and private schools in the Distrito Federal. The data reveals significant disparities in resource utilization but highlights promising interventions that can serve as models for national policy adjustments.</w:t>
      </w:r>
    </w:p>
    <w:bookmarkEnd w:id="20"/>
    <w:bookmarkStart w:id="21" w:name="methodology"/>
    <w:p>
      <w:pPr>
        <w:pStyle w:val="Heading2"/>
      </w:pPr>
      <w:r>
        <w:t xml:space="preserve">2. Methodology</w:t>
      </w:r>
    </w:p>
    <w:p>
      <w:pPr>
        <w:pStyle w:val="FirstParagraph"/>
      </w:pPr>
      <w:r>
        <w:t xml:space="preserve">To ensure a holistic understanding of the secondary education landscape, we employed a mixed-methods approach. The study population included 1,500 students in grades 9 through 12 and approximately 300 educators actively teaching at the secondary level.</w:t>
      </w:r>
    </w:p>
    <w:p>
      <w:pPr>
        <w:numPr>
          <w:ilvl w:val="0"/>
          <w:numId w:val="1001"/>
        </w:numPr>
        <w:pStyle w:val="Compact"/>
      </w:pPr>
      <w:r>
        <w:rPr>
          <w:bCs/>
          <w:b/>
        </w:rPr>
        <w:t xml:space="preserve">Data Collection:</w:t>
      </w:r>
      <w:r>
        <w:t xml:space="preserve"> </w:t>
      </w:r>
      <w:r>
        <w:t xml:space="preserve">Surveys were distributed to assess teacher satisfaction and resource availability. Standardized test scores were analyzed for academic trends over three consecutive years.</w:t>
      </w:r>
    </w:p>
    <w:p>
      <w:pPr>
        <w:numPr>
          <w:ilvl w:val="0"/>
          <w:numId w:val="1001"/>
        </w:numPr>
        <w:pStyle w:val="Compact"/>
      </w:pPr>
      <w:r>
        <w:rPr>
          <w:bCs/>
          <w:b/>
        </w:rPr>
        <w:t xml:space="preserve">Panels:</w:t>
      </w:r>
      <w:r>
        <w:t xml:space="preserve"> </w:t>
      </w:r>
      <w:r>
        <w:t xml:space="preserve">Focus groups were organized in Brasília, bringing together school administrators, parents, and local government officials to discuss systemic challenges unique to the capital's demographic structure.</w:t>
      </w:r>
    </w:p>
    <w:p>
      <w:pPr>
        <w:numPr>
          <w:ilvl w:val="0"/>
          <w:numId w:val="1001"/>
        </w:numPr>
        <w:pStyle w:val="Compact"/>
      </w:pPr>
      <w:r>
        <w:rPr>
          <w:bCs/>
          <w:b/>
        </w:rPr>
        <w:t xml:space="preserve">Laboratory Testing:</w:t>
      </w:r>
      <w:r>
        <w:t xml:space="preserve"> </w:t>
      </w:r>
      <w:r>
        <w:t xml:space="preserve">Specific science laboratories within selected schools were equipped with modern digital sensors and software. Teachers participated in intensive training workshops focused on inquiry-based learning techniques before implementation.</w:t>
      </w:r>
    </w:p>
    <w:bookmarkEnd w:id="21"/>
    <w:bookmarkStart w:id="24" w:name="findings"/>
    <w:p>
      <w:pPr>
        <w:pStyle w:val="Heading2"/>
      </w:pPr>
      <w:r>
        <w:t xml:space="preserve">3. Findings</w:t>
      </w:r>
    </w:p>
    <w:p>
      <w:pPr>
        <w:pStyle w:val="FirstParagraph"/>
      </w:pPr>
      <w:r>
        <w:t xml:space="preserve">The analysis of the data collected from Brazil Brasília yielded several critical insights regarding secondary education structures.</w:t>
      </w:r>
    </w:p>
    <w:bookmarkStart w:id="22" w:name="a.-infrastructure-disparities"/>
    <w:p>
      <w:pPr>
        <w:pStyle w:val="Heading3"/>
      </w:pPr>
      <w:r>
        <w:t xml:space="preserve">A. Infrastructure Disparities</w:t>
      </w:r>
    </w:p>
    <w:p>
      <w:pPr>
        <w:pStyle w:val="FirstParagraph"/>
      </w:pPr>
      <w:r>
        <w:br/>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School Type</w:t>
            </w:r>
          </w:p>
        </w:tc>
        <w:tc>
          <w:tcPr/>
          <w:p>
            <w:pPr>
              <w:pStyle w:val="Compact"/>
              <w:jc w:val="left"/>
            </w:pPr>
            <w:r>
              <w:rPr>
                <w:bCs/>
                <w:b/>
              </w:rPr>
              <w:t xml:space="preserve">Avg. Lab Equipment Score (1-10)</w:t>
            </w:r>
          </w:p>
        </w:tc>
        <w:tc>
          <w:tcPr/>
          <w:p>
            <w:pPr>
              <w:pStyle w:val="Compact"/>
              <w:jc w:val="left"/>
            </w:pPr>
            <w:r>
              <w:rPr>
                <w:bCs/>
                <w:b/>
              </w:rPr>
              <w:t xml:space="preserve">Teacher-Student Ratio</w:t>
            </w:r>
          </w:p>
        </w:tc>
      </w:tr>
      <w:tr>
        <w:tc>
          <w:tcPr/>
          <w:p>
            <w:pPr>
              <w:pStyle w:val="Compact"/>
              <w:jc w:val="left"/>
            </w:pPr>
            <w:r>
              <w:t xml:space="preserve">Public Schools (Brasília)</w:t>
            </w:r>
          </w:p>
        </w:tc>
        <w:tc>
          <w:tcPr/>
          <w:p>
            <w:pPr>
              <w:pStyle w:val="Compact"/>
              <w:jc w:val="left"/>
            </w:pPr>
            <w:r>
              <w:t xml:space="preserve">4.5</w:t>
            </w:r>
          </w:p>
        </w:tc>
        <w:tc>
          <w:tcPr/>
          <w:p>
            <w:pPr>
              <w:pStyle w:val="Compact"/>
              <w:jc w:val="left"/>
            </w:pPr>
            <w:r>
              <w:t xml:space="preserve">35:1</w:t>
            </w:r>
          </w:p>
        </w:tc>
      </w:tr>
      <w:tr>
        <w:tc>
          <w:tcPr/>
          <w:p>
            <w:pPr>
              <w:pStyle w:val="Compact"/>
              <w:jc w:val="left"/>
            </w:pPr>
            <w:r>
              <w:t xml:space="preserve">Private Schools (Brasília)</w:t>
            </w:r>
          </w:p>
        </w:tc>
        <w:tc>
          <w:tcPr/>
          <w:p>
            <w:pPr>
              <w:pStyle w:val="Compact"/>
              <w:jc w:val="left"/>
            </w:pPr>
            <w:r>
              <w:t xml:space="preserve">8.9</w:t>
            </w:r>
          </w:p>
        </w:tc>
        <w:tc>
          <w:tcPr/>
          <w:p>
            <w:pPr>
              <w:pStyle w:val="Compact"/>
              <w:jc w:val="left"/>
            </w:pPr>
            <w:r>
              <w:t xml:space="preserve">20:1</w:t>
            </w:r>
          </w:p>
        </w:tc>
      </w:tr>
    </w:tbl>
    <w:p>
      <w:pPr>
        <w:pStyle w:val="BodyText"/>
      </w:pPr>
      <w:r>
        <w:t xml:space="preserve">As illustrated in the table, there is a stark contrast between public and private institutions in the region. Public schools often lack adequate laboratory facilities, which directly hampers their ability to offer hands-on science education at the secondary level.</w:t>
      </w:r>
    </w:p>
    <w:p>
      <w:pPr>
        <w:pStyle w:val="BodyText"/>
      </w:pPr>
      <w:r>
        <w:br/>
      </w:r>
    </w:p>
    <w:bookmarkEnd w:id="22"/>
    <w:bookmarkStart w:id="23" w:name="b.-pedagogical-adaptation"/>
    <w:p>
      <w:pPr>
        <w:pStyle w:val="Heading3"/>
      </w:pPr>
      <w:r>
        <w:t xml:space="preserve">B. Pedagogical Adaptation</w:t>
      </w:r>
    </w:p>
    <w:p>
      <w:pPr>
        <w:pStyle w:val="FirstParagraph"/>
      </w:pPr>
      <w:r>
        <w:t xml:space="preserve">Teachers who participated in the inquiry-based training workshops showed a marked improvement in student engagement scores compared to those using traditional lecture methods. Specifically, students demonstrated higher retention rates when complex biological and physical concepts were visualized through laboratory experiments rather than textbook theory alone.</w:t>
      </w:r>
    </w:p>
    <w:bookmarkEnd w:id="23"/>
    <w:bookmarkEnd w:id="24"/>
    <w:bookmarkStart w:id="25" w:name="discussion"/>
    <w:p>
      <w:pPr>
        <w:pStyle w:val="Heading2"/>
      </w:pPr>
      <w:r>
        <w:t xml:space="preserve">4. Discussion</w:t>
      </w:r>
    </w:p>
    <w:p>
      <w:pPr>
        <w:pStyle w:val="FirstParagraph"/>
      </w:pPr>
      <w:r>
        <w:t xml:space="preserve">The results underscore the necessity of targeted investment in teacher training and educational infrastructure within Brazil Brasília. While the capital city benefits from centralized government funding, bureaucratic delays often hinder timely resource distribution to secondary schools.</w:t>
      </w:r>
    </w:p>
    <w:p>
      <w:pPr>
        <w:pStyle w:val="BodyText"/>
      </w:pPr>
      <w:r>
        <w:br/>
      </w:r>
    </w:p>
    <w:p>
      <w:pPr>
        <w:numPr>
          <w:ilvl w:val="0"/>
          <w:numId w:val="1002"/>
        </w:numPr>
        <w:pStyle w:val="Compact"/>
      </w:pPr>
      <w:r>
        <w:rPr>
          <w:bCs/>
          <w:b/>
        </w:rPr>
        <w:t xml:space="preserve">Digital Literacy:</w:t>
      </w:r>
      <w:r>
        <w:t xml:space="preserve"> </w:t>
      </w:r>
      <w:r>
        <w:t xml:space="preserve">A major finding was that secondary students who had access to digital laboratory simulations outperformed their peers in standardized testing by an average of 15%. This suggests that integrating technology into the science curriculum is not merely a luxury but an essential component of modern education.</w:t>
      </w:r>
    </w:p>
    <w:p>
      <w:pPr>
        <w:numPr>
          <w:ilvl w:val="0"/>
          <w:numId w:val="1002"/>
        </w:numPr>
        <w:pStyle w:val="Compact"/>
      </w:pPr>
      <w:r>
        <w:rPr>
          <w:bCs/>
          <w:b/>
        </w:rPr>
        <w:t xml:space="preserve">Socioeconomic Factors:</w:t>
      </w:r>
      <w:r>
        <w:t xml:space="preserve"> </w:t>
      </w:r>
      <w:r>
        <w:t xml:space="preserve">Socioeconomic backgrounds played a significant role. Students from lower-income families often lacked access to digital devices at home, creating a "homework gap" that widened during online learning phases. Addressing this requires community-wide initiatives alongside school-based efforts.</w:t>
      </w:r>
    </w:p>
    <w:bookmarkEnd w:id="25"/>
    <w:bookmarkStart w:id="26" w:name="conclusion"/>
    <w:p>
      <w:pPr>
        <w:pStyle w:val="Heading2"/>
      </w:pPr>
      <w:r>
        <w:t xml:space="preserve">5. Conclusion</w:t>
      </w:r>
    </w:p>
    <w:p>
      <w:pPr>
        <w:pStyle w:val="FirstParagraph"/>
      </w:pPr>
      <w:r>
        <w:t xml:space="preserve">In conclusion, this laboratory report highlights the urgent need for policy reforms aimed at standardizing educational quality across Brazil Brasília's secondary schools. While disparities exist, the success of pilot programs utilizing inquiry-based learning and digital tools offers a clear path forward. It is recommended that future funding be prioritized toward teacher professional development and equitable distribution of technological resources.</w:t>
      </w:r>
    </w:p>
    <w:p>
      <w:pPr>
        <w:pStyle w:val="BodyText"/>
      </w:pPr>
      <w:r>
        <w:t xml:space="preserve">By addressing these challenges head-on, stakeholders can ensure that all students in the capital region are equipped with the critical thinking skills necessary for higher education and future careers. Continued monitoring and iterative improvements based on empirical data will be essential to sustaining these gains.</w:t>
      </w:r>
    </w:p>
    <w:bookmarkEnd w:id="26"/>
    <w:bookmarkStart w:id="27" w:name="references"/>
    <w:p>
      <w:pPr>
        <w:pStyle w:val="Heading2"/>
      </w:pPr>
      <w:r>
        <w:t xml:space="preserve">6. References</w:t>
      </w:r>
    </w:p>
    <w:p>
      <w:pPr>
        <w:pStyle w:val="FirstParagraph"/>
      </w:pPr>
      <w:r>
        <w:br/>
      </w:r>
    </w:p>
    <w:p>
      <w:pPr>
        <w:numPr>
          <w:ilvl w:val="0"/>
          <w:numId w:val="1003"/>
        </w:numPr>
        <w:pStyle w:val="Compact"/>
      </w:pPr>
      <w:r>
        <w:t xml:space="preserve">Instituto Nacional de Estudos e Pesquisas Educacionais Anísio Teixeira (INEP). (2023). Censo Escolar da Educação Básica.</w:t>
      </w:r>
    </w:p>
    <w:p>
      <w:pPr>
        <w:numPr>
          <w:ilvl w:val="0"/>
          <w:numId w:val="1003"/>
        </w:numPr>
        <w:pStyle w:val="Compact"/>
      </w:pPr>
      <w:r>
        <w:t xml:space="preserve">Secretaria de Educação do Distrito Federal (SEEDF). (2023). Relatórios Anuais de Desempenho Escolar.</w:t>
      </w:r>
    </w:p>
    <w:p>
      <w:pPr>
        <w:numPr>
          <w:ilvl w:val="0"/>
          <w:numId w:val="1003"/>
        </w:numPr>
        <w:pStyle w:val="Compact"/>
      </w:pPr>
      <w:r>
        <w:t xml:space="preserve">Silva, M. &amp; Santos, L. (2022). "Impact of Digital Tools on Secondary STEM Education in Urban Brazil." Journal of Educational Research,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Evaluation in Brazil Brasília</dc:title>
  <dc:creator/>
  <dc:language>en</dc:language>
  <cp:keywords/>
  <dcterms:created xsi:type="dcterms:W3CDTF">2026-07-29T12:31:55Z</dcterms:created>
  <dcterms:modified xsi:type="dcterms:W3CDTF">2026-07-29T12:31:55Z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