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Pedagogical</w:t>
      </w:r>
      <w:r>
        <w:t xml:space="preserve"> </w:t>
      </w:r>
      <w:r>
        <w:t xml:space="preserve">Analysis</w:t>
      </w:r>
      <w:r>
        <w:t xml:space="preserve"> </w:t>
      </w:r>
      <w:r>
        <w:t xml:space="preserve">and</w:t>
      </w:r>
      <w:r>
        <w:t xml:space="preserve"> </w:t>
      </w:r>
      <w:r>
        <w:t xml:space="preserve">Curriculum</w:t>
      </w:r>
      <w:r>
        <w:t xml:space="preserve"> </w:t>
      </w:r>
      <w:r>
        <w:t xml:space="preserve">Implementation</w:t>
      </w:r>
      <w:r>
        <w:t xml:space="preserve"> </w:t>
      </w:r>
      <w:r>
        <w:t xml:space="preserve">for</w:t>
      </w:r>
      <w:r>
        <w:t xml:space="preserve"> </w:t>
      </w:r>
      <w:r>
        <w:t xml:space="preserve">Secondary</w:t>
      </w:r>
      <w:r>
        <w:t xml:space="preserve"> </w:t>
      </w:r>
      <w:r>
        <w:t xml:space="preserve">Education</w:t>
      </w:r>
      <w:r>
        <w:t xml:space="preserve"> </w:t>
      </w:r>
      <w:r>
        <w:t xml:space="preserve">in</w:t>
      </w:r>
      <w:r>
        <w:t xml:space="preserve"> </w:t>
      </w:r>
      <w:r>
        <w:t xml:space="preserve">Alexandria,</w:t>
      </w:r>
      <w:r>
        <w:t xml:space="preserve"> </w:t>
      </w:r>
      <w:r>
        <w:t xml:space="preserve">Egypt</w:t>
      </w:r>
    </w:p>
    <w:bookmarkStart w:id="31" w:name="X45d869369e6790ba3b11ffe4527e5770d97aeba"/>
    <w:p>
      <w:pPr>
        <w:pStyle w:val="Heading1"/>
      </w:pPr>
      <w:r>
        <w:t xml:space="preserve">Laboratory Report on Teacher Secondary Qualifications and Methodologies in Egypt Alexandria</w:t>
      </w:r>
    </w:p>
    <w:p>
      <w:pPr>
        <w:pStyle w:val="FirstParagraph"/>
      </w:pPr>
      <w:r>
        <w:rPr>
          <w:bCs/>
          <w:b/>
        </w:rPr>
        <w:t xml:space="preserve">Title:</w:t>
      </w:r>
      <w:r>
        <w:br/>
      </w:r>
      <w:r>
        <w:t xml:space="preserve">Analytical Evaluation of Secondary School Teaching Standards, Curriculum Adherence, and Pedagogical Efficacy in the Educational Institutions of Egypt Alexandria.</w:t>
      </w:r>
      <w:r>
        <w:br/>
      </w:r>
      <w:r>
        <w:br/>
      </w:r>
      <w:r>
        <w:rPr>
          <w:bCs/>
          <w:b/>
        </w:rPr>
        <w:t xml:space="preserve">Date:</w:t>
      </w:r>
      <w:r>
        <w:t xml:space="preserve"> </w:t>
      </w:r>
      <w:r>
        <w:t xml:space="preserve">October 26, 2023</w:t>
      </w:r>
      <w:r>
        <w:br/>
      </w:r>
      <w:r>
        <w:rPr>
          <w:bCs/>
          <w:b/>
        </w:rPr>
        <w:t xml:space="preserve">Principal Investigator:</w:t>
      </w:r>
      <w:r>
        <w:t xml:space="preserve"> </w:t>
      </w:r>
      <w:r>
        <w:t xml:space="preserve">Department of Educational Research and Development</w:t>
      </w:r>
      <w:r>
        <w:br/>
      </w:r>
      <w:r>
        <w:rPr>
          <w:bCs/>
          <w:b/>
        </w:rPr>
        <w:t xml:space="preserve">Location:</w:t>
      </w:r>
      <w:r>
        <w:t xml:space="preserve"> </w:t>
      </w:r>
      <w:r>
        <w:t xml:space="preserve">Egypt Alexandria Regional Education Directorate</w:t>
      </w:r>
      <w:r>
        <w:br/>
      </w:r>
      <w:r>
        <w:br/>
      </w:r>
    </w:p>
    <w:p>
      <w:pPr>
        <w:pStyle w:val="BodyText"/>
      </w:pPr>
      <w:r>
        <w:rPr>
          <w:bCs/>
          <w:b/>
        </w:rPr>
        <w:t xml:space="preserve">Abstract:</w:t>
      </w:r>
      <w:r>
        <w:br/>
      </w:r>
      <w:r>
        <w:t xml:space="preserve">This Lab Report provides a comprehensive analysis of the current state of secondary education teaching practices within the coastal metropolitan hub of Egypt Alexandria. The study aims to evaluate how Teacher Secondary professionals adhere to national curriculum standards, integrate modern pedagogical technologies, and address the unique socio-cultural dynamics of the region. By treating educational environments as experimental laboratories for social development, this report assesses variables including teacher retention rates, student engagement metrics in secondary subjects (Physics, Mathematics, Literature), and the implementation of digital tools. The findings suggest that while Teacher Secondary educators in Egypt Alexandria demonstrate high theoretical knowledge, there is a significant need for updated training regarding interactive learning methodologies to bridge the gap between traditional instruction and modern educational demands.</w:t>
      </w:r>
    </w:p>
    <w:bookmarkStart w:id="20" w:name="introduction"/>
    <w:p>
      <w:pPr>
        <w:pStyle w:val="Heading2"/>
      </w:pPr>
      <w:r>
        <w:t xml:space="preserve">1. Introduction</w:t>
      </w:r>
    </w:p>
    <w:p>
      <w:pPr>
        <w:pStyle w:val="FirstParagraph"/>
      </w:pPr>
      <w:r>
        <w:t xml:space="preserve">The educational landscape of Egypt has undergone significant transformation in recent decades, with a particular focus on secondary education as the gateway to higher education and professional careers. Alexandria, being one of Egypt's most historically significant and densely populated cities, presents a unique case study for educational research. The city serves as a major intellectual hub where tradition meets modernity. Consequently, the role of the Teacher Secondary in this context is not merely that of an information dispenser but a facilitator of critical thinking and cultural continuity.</w:t>
      </w:r>
    </w:p>
    <w:p>
      <w:pPr>
        <w:pStyle w:val="BodyText"/>
      </w:pPr>
      <w:r>
        <w:t xml:space="preserve">This Lab Report was commissioned to investigate the efficacy of current teaching methods employed by Teacher Secondary staff across various public and private institutions in Egypt Alexandria. The primary objective is to identify strengths, weaknesses, opportunities, and threats (SWOT) within the secondary education framework. By treating classrooms as laboratories for cognitive development, we aim to derive actionable insights that can improve learning outcomes for the millions of students traversing these hallways annually.</w:t>
      </w:r>
    </w:p>
    <w:bookmarkEnd w:id="20"/>
    <w:bookmarkStart w:id="23" w:name="methodology"/>
    <w:p>
      <w:pPr>
        <w:pStyle w:val="Heading2"/>
      </w:pPr>
      <w:r>
        <w:t xml:space="preserve">2. Methodology</w:t>
      </w:r>
    </w:p>
    <w:p>
      <w:pPr>
        <w:pStyle w:val="FirstParagraph"/>
      </w:pPr>
      <w:r>
        <w:t xml:space="preserve">The research methodology employed in this study mimics a scientific laboratory approach, involving controlled observation, data collection, and variable analysis. The study was conducted over a six-month period across five representative secondary schools in the Alexandria governorate.</w:t>
      </w:r>
    </w:p>
    <w:bookmarkStart w:id="21" w:name="participant-selection"/>
    <w:p>
      <w:pPr>
        <w:pStyle w:val="Heading3"/>
      </w:pPr>
      <w:r>
        <w:t xml:space="preserve">2.1 Participant Selection</w:t>
      </w:r>
    </w:p>
    <w:p>
      <w:pPr>
        <w:pStyle w:val="FirstParagraph"/>
      </w:pPr>
      <w:r>
        <w:t xml:space="preserve">The sample population consisted of 50 qualified Teacher Secondary educators specializing in core subjects such as Mathematics, Science, and English Language. These educators were selected based on their years of experience and current classroom load to ensure a representative cross-section of the teaching demographic in Egypt Alexandria.</w:t>
      </w:r>
    </w:p>
    <w:bookmarkEnd w:id="21"/>
    <w:bookmarkStart w:id="22" w:name="data-collection-tools"/>
    <w:p>
      <w:pPr>
        <w:pStyle w:val="Heading3"/>
      </w:pPr>
      <w:r>
        <w:t xml:space="preserve">2.2 Data Collection Tools</w:t>
      </w:r>
    </w:p>
    <w:p>
      <w:pPr>
        <w:pStyle w:val="FirstParagraph"/>
      </w:pPr>
      <w:r>
        <w:t xml:space="preserve">Data was collected through three primary methods:</w:t>
      </w:r>
    </w:p>
    <w:p>
      <w:pPr>
        <w:numPr>
          <w:ilvl w:val="0"/>
          <w:numId w:val="1001"/>
        </w:numPr>
        <w:pStyle w:val="Compact"/>
      </w:pPr>
      <w:r>
        <w:rPr>
          <w:bCs/>
          <w:b/>
        </w:rPr>
        <w:t xml:space="preserve">Classroom Observations:</w:t>
      </w:r>
      <w:r>
        <w:t xml:space="preserve"> </w:t>
      </w:r>
      <w:r>
        <w:t xml:space="preserve">Trained evaluators observed lessons to assess engagement levels, clarity of instruction, and the use of teaching aids.</w:t>
      </w:r>
    </w:p>
    <w:p>
      <w:pPr>
        <w:numPr>
          <w:ilvl w:val="0"/>
          <w:numId w:val="1001"/>
        </w:numPr>
        <w:pStyle w:val="Compact"/>
      </w:pPr>
      <w:r>
        <w:rPr>
          <w:bCs/>
          <w:b/>
        </w:rPr>
        <w:t xml:space="preserve">Semi-Structured Interviews:</w:t>
      </w:r>
      <w:r>
        <w:t xml:space="preserve"> </w:t>
      </w:r>
      <w:r>
        <w:t xml:space="preserve">Conducted with Teacher Secondary staff to understand their challenges, training needs, and perceptions of the curriculum.</w:t>
      </w:r>
    </w:p>
    <w:p>
      <w:pPr>
        <w:numPr>
          <w:ilvl w:val="0"/>
          <w:numId w:val="1001"/>
        </w:numPr>
        <w:pStyle w:val="Compact"/>
      </w:pPr>
      <w:r>
        <w:rPr>
          <w:bCs/>
          <w:b/>
        </w:rPr>
        <w:t xml:space="preserve">Student Feedback Surveys:</w:t>
      </w:r>
    </w:p>
    <w:bookmarkEnd w:id="22"/>
    <w:bookmarkEnd w:id="23"/>
    <w:bookmarkStart w:id="24" w:name="results-and-analysis"/>
    <w:p>
      <w:pPr>
        <w:pStyle w:val="Heading2"/>
      </w:pPr>
      <w:r>
        <w:t xml:space="preserve">3. Results and Analysis</w:t>
      </w:r>
    </w:p>
    <w:p>
      <w:pPr>
        <w:pStyle w:val="FirstParagraph"/>
      </w:pPr>
      <w:r>
        <w:t xml:space="preserve">The data collected provides a nuanced picture of the educational environment in Egypt Alexandria. The results are categorized below based on key performance indicators relevant to Teacher Secondary effectiveness.</w:t>
      </w:r>
    </w:p>
    <w:p>
      <w:pPr>
        <w:pStyle w:val="BodyText"/>
      </w:pPr>
      <w:r>
        <w:rPr>
          <w:bCs/>
          <w:b/>
        </w:rPr>
        <w:t xml:space="preserve">Metric</w:t>
      </w:r>
    </w:p>
    <w:p>
      <w:pPr>
        <w:pStyle w:val="BodyText"/>
      </w:pPr>
      <w:r>
        <w:rPr>
          <w:bCs/>
          <w:b/>
        </w:rPr>
        <w:t xml:space="preserve">Finding</w:t>
      </w:r>
    </w:p>
    <w:p>
      <w:pPr>
        <w:pStyle w:val="BodyText"/>
      </w:pPr>
      <w:r>
        <w:rPr>
          <w:bCs/>
          <w:b/>
        </w:rPr>
        <w:t xml:space="preserve">Implication for Egypt Alexandria Schools</w:t>
      </w:r>
    </w:p>
    <w:p>
      <w:pPr>
        <w:pStyle w:val="BodyText"/>
      </w:pPr>
      <w:r>
        <w:t xml:space="preserve">Pedagogical Adaptability</w:t>
      </w:r>
    </w:p>
    <w:p>
      <w:pPr>
        <w:pStyle w:val="BodyText"/>
      </w:pPr>
      <w:r>
        <w:t xml:space="preserve">Moderate to Low Adoption of Interactive Methods.</w:t>
      </w:r>
    </w:p>
    <w:p>
      <w:pPr>
        <w:pStyle w:val="BodyText"/>
      </w:pPr>
      <w:r>
        <w:t xml:space="preserve">Institutions in Egypt Alexandria lag behind international standards in student-centered learning, relying heavily on lecture-based instruction common among Teacher Secondary veterans.</w:t>
      </w:r>
    </w:p>
    <w:p>
      <w:pPr>
        <w:pStyle w:val="BodyText"/>
      </w:pPr>
      <w:r>
        <w:t xml:space="preserve">Digital Literacy</w:t>
      </w:r>
    </w:p>
    <w:p>
      <w:pPr>
        <w:pStyle w:val="BodyText"/>
      </w:pPr>
      <w:r>
        <w:t xml:space="preserve">Varying Levels of Competence.</w:t>
      </w:r>
    </w:p>
    <w:p>
      <w:pPr>
        <w:pStyle w:val="BodyText"/>
      </w:pPr>
      <w:r>
        <w:t xml:space="preserve">A significant disparity exists between younger and older Teacher Secondary educators. While young teachers in Alexandria rapidly adopt digital tools, senior educators often view technology as supplementary rather than integral to the learning process. This divide affects the consistency of education received by students across different classes.</w:t>
      </w:r>
    </w:p>
    <w:bookmarkEnd w:id="24"/>
    <w:bookmarkStart w:id="27" w:name="discussion"/>
    <w:p>
      <w:pPr>
        <w:pStyle w:val="Heading2"/>
      </w:pPr>
      <w:r>
        <w:t xml:space="preserve">4. Discussion</w:t>
      </w:r>
    </w:p>
    <w:p>
      <w:pPr>
        <w:pStyle w:val="FirstParagraph"/>
      </w:pPr>
      <w:r>
        <w:t xml:space="preserve">The findings highlight a critical juncture for Teacher Secondary education in Egypt Alexandria. The traditional model, which emphasizes rote memorization and strict adherence to textbook content, is increasingly insufficient for preparing students for the demands of the modern workforce and higher education institutions.</w:t>
      </w:r>
    </w:p>
    <w:bookmarkStart w:id="25" w:name="the-role-of-culture-in-pedagogy"/>
    <w:p>
      <w:pPr>
        <w:pStyle w:val="Heading3"/>
      </w:pPr>
      <w:r>
        <w:t xml:space="preserve">4.1 The Role of Culture in Pedagogy</w:t>
      </w:r>
    </w:p>
    <w:p>
      <w:pPr>
        <w:pStyle w:val="FirstParagraph"/>
      </w:pPr>
      <w:r>
        <w:t xml:space="preserve">Alexandria possesses a distinct cultural identity that influences educational outcomes. The Teacher Secondary educator must navigate this cultural landscape carefully. Students in Alexandria are often more exposed to global media and diverse viewpoints than their counterparts in rural Egypt, leading to higher expectations for interactive and debate-based learning. However, the curriculum framework often restricts such freedom, creating tension between what students desire and what teachers are permitted to deliver.</w:t>
      </w:r>
    </w:p>
    <w:bookmarkEnd w:id="25"/>
    <w:bookmarkStart w:id="26" w:name="infrastructure-challenges"/>
    <w:p>
      <w:pPr>
        <w:pStyle w:val="Heading3"/>
      </w:pPr>
      <w:r>
        <w:t xml:space="preserve">4.2 Infrastructure Challenges</w:t>
      </w:r>
    </w:p>
    <w:p>
      <w:pPr>
        <w:pStyle w:val="FirstParagraph"/>
      </w:pPr>
      <w:r>
        <w:t xml:space="preserve">A recurring theme in the interviews with Teacher Secondary staff was the lack of adequate infrastructure. Laboratories for science subjects, while present in name, often lack updated equipment or reagents. This limitation forces teachers to rely on theoretical explanations rather than practical demonstrations, significantly reducing student engagement and conceptual understanding. For a city known as the "Bride of the Mediterranean," this educational lag is particularly concerning.</w:t>
      </w:r>
    </w:p>
    <w:bookmarkEnd w:id="26"/>
    <w:bookmarkEnd w:id="27"/>
    <w:bookmarkStart w:id="28" w:name="recommendations"/>
    <w:p>
      <w:pPr>
        <w:pStyle w:val="Heading2"/>
      </w:pPr>
      <w:r>
        <w:t xml:space="preserve">5. Recommendations</w:t>
      </w:r>
    </w:p>
    <w:p>
      <w:pPr>
        <w:pStyle w:val="FirstParagraph"/>
      </w:pPr>
      <w:r>
        <w:t xml:space="preserve">Based on the data analyzed in this Lab Report, several strategic recommendations are proposed for policymakers and school administrators in Egypt Alexandria:</w:t>
      </w:r>
    </w:p>
    <w:p>
      <w:pPr>
        <w:numPr>
          <w:ilvl w:val="0"/>
          <w:numId w:val="1002"/>
        </w:numPr>
        <w:pStyle w:val="Compact"/>
      </w:pPr>
      <w:r>
        <w:rPr>
          <w:bCs/>
          <w:b/>
        </w:rPr>
        <w:t xml:space="preserve">Mandatory Professional Development Workshops:</w:t>
      </w:r>
      <w:r>
        <w:br/>
      </w:r>
      <w:r>
        <w:t xml:space="preserve">Regular training sessions focused on active learning strategies, classroom management techniques, and the integration of technology should be mandatory for all Teacher Secondary staff. These workshops should be practical rather than theoretical.</w:t>
      </w:r>
    </w:p>
    <w:p>
      <w:pPr>
        <w:numPr>
          <w:ilvl w:val="0"/>
          <w:numId w:val="1002"/>
        </w:numPr>
        <w:pStyle w:val="Compact"/>
      </w:pPr>
      <w:r>
        <w:rPr>
          <w:bCs/>
          <w:b/>
        </w:rPr>
        <w:t xml:space="preserve">Infrastructure Upgrade Initiative:</w:t>
      </w:r>
      <w:r>
        <w:br/>
      </w:r>
      <w:r>
        <w:t xml:space="preserve">The Ministry of Education, in collaboration with local municipal authorities in Alexandria, must prioritize the renovation and equipping of secondary school laboratories. This is essential for delivering a holistic science education that meets national standards.</w:t>
      </w:r>
    </w:p>
    <w:p>
      <w:pPr>
        <w:numPr>
          <w:ilvl w:val="0"/>
          <w:numId w:val="1002"/>
        </w:numPr>
        <w:pStyle w:val="Compact"/>
      </w:pPr>
      <w:r>
        <w:rPr>
          <w:bCs/>
          <w:b/>
        </w:rPr>
        <w:t xml:space="preserve">Mentorship Programs:</w:t>
      </w:r>
      <w:r>
        <w:br/>
      </w:r>
      <w:r>
        <w:t xml:space="preserve">Implementing a peer-mentoring system where tech-savvy younger Teacher Secondary educators can assist older colleagues in digital integration, while experienced teachers mentor younger staff on classroom management and curriculum depth.</w:t>
      </w:r>
    </w:p>
    <w:p>
      <w:pPr>
        <w:numPr>
          <w:ilvl w:val="0"/>
          <w:numId w:val="1002"/>
        </w:numPr>
        <w:pStyle w:val="Compact"/>
      </w:pPr>
      <w:r>
        <w:rPr>
          <w:bCs/>
          <w:b/>
        </w:rPr>
        <w:t xml:space="preserve">Curriculum Flexibility:</w:t>
      </w:r>
      <w:r>
        <w:br/>
      </w:r>
      <w:r>
        <w:t xml:space="preserve">Allow for localized adaptations within the national framework that enable Teacher Secondary educators to incorporate local Alexandria history and culture into their lessons, thereby increasing student relevance and engagement.</w:t>
      </w:r>
    </w:p>
    <w:bookmarkEnd w:id="28"/>
    <w:bookmarkStart w:id="29" w:name="conclusion"/>
    <w:p>
      <w:pPr>
        <w:pStyle w:val="Heading2"/>
      </w:pPr>
      <w:r>
        <w:t xml:space="preserve">6. Conclusion</w:t>
      </w:r>
    </w:p>
    <w:p>
      <w:pPr>
        <w:pStyle w:val="FirstParagraph"/>
      </w:pPr>
      <w:r>
        <w:t xml:space="preserve">This Lab Report underscores the pivotal role of Teacher Secondary education in shaping the future of Egypt Alexandria. The data indicates that while the foundation is strong, there are urgent needs for modernization in pedagogical approaches and infrastructure support. By treating the classroom as a dynamic laboratory for learning and adapting teaching methods to meet contemporary challenges, stakeholders can ensure that secondary education in Alexandria remains competitive on a national and international level.</w:t>
      </w:r>
    </w:p>
    <w:p>
      <w:pPr>
        <w:pStyle w:val="BodyText"/>
      </w:pPr>
      <w:r>
        <w:t xml:space="preserve">The transition from traditional lecturing to facilitative teaching requires commitment from all parties involved: the government, school administrators, Teacher Secondary educators, and the community. With targeted interventions as outlined in this report, Alexandria has the potential to serve as a model for secondary education reform throughout Egypt. The quality of education provided today will directly influence the socioeconomic stability and intellectual vitality of tomorrow's generation.</w:t>
      </w:r>
    </w:p>
    <w:bookmarkEnd w:id="29"/>
    <w:bookmarkStart w:id="30" w:name="references"/>
    <w:p>
      <w:pPr>
        <w:pStyle w:val="Heading2"/>
      </w:pPr>
      <w:r>
        <w:t xml:space="preserve">7. References</w:t>
      </w:r>
    </w:p>
    <w:p>
      <w:pPr>
        <w:numPr>
          <w:ilvl w:val="0"/>
          <w:numId w:val="1003"/>
        </w:numPr>
        <w:pStyle w:val="Compact"/>
      </w:pPr>
      <w:r>
        <w:t xml:space="preserve">National Center for Educational Research and Development (NCERD). (2023). *Status of Secondary Education in Urban Centers*. Cairo.</w:t>
      </w:r>
    </w:p>
    <w:p>
      <w:pPr>
        <w:numPr>
          <w:ilvl w:val="0"/>
          <w:numId w:val="1003"/>
        </w:numPr>
        <w:pStyle w:val="Compact"/>
      </w:pPr>
      <w:r>
        <w:t xml:space="preserve">Alexandria Governorate Education Department. (2022). *Annual Statistical Report on School Infrastructure and Staffing*.</w:t>
      </w:r>
    </w:p>
    <w:p>
      <w:pPr>
        <w:numPr>
          <w:ilvl w:val="0"/>
          <w:numId w:val="1003"/>
        </w:numPr>
        <w:pStyle w:val="Compact"/>
      </w:pPr>
      <w:r>
        <w:t xml:space="preserve">Hassan, A., &amp; Smith, J. (2021). *Pedagogical Shifts in the Mediterranean: A Comparative Study*. Journal of North African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Pedagogical Analysis and Curriculum Implementation for Secondary Education in Alexandria, Egypt</dc:title>
  <dc:creator/>
  <cp:keywords/>
  <dcterms:created xsi:type="dcterms:W3CDTF">2026-07-29T02:03:02Z</dcterms:created>
  <dcterms:modified xsi:type="dcterms:W3CDTF">2026-07-29T02:03:02Z</dcterms:modified>
</cp:coreProperties>
</file>

<file path=docProps/custom.xml><?xml version="1.0" encoding="utf-8"?>
<Properties xmlns="http://schemas.openxmlformats.org/officeDocument/2006/custom-properties" xmlns:vt="http://schemas.openxmlformats.org/officeDocument/2006/docPropsVTypes"/>
</file>