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Secondary</w:t>
      </w:r>
      <w:r>
        <w:t xml:space="preserve"> </w:t>
      </w:r>
      <w:r>
        <w:t xml:space="preserve">Education</w:t>
      </w:r>
      <w:r>
        <w:t xml:space="preserve"> </w:t>
      </w:r>
      <w:r>
        <w:t xml:space="preserve">Framework</w:t>
      </w:r>
      <w:r>
        <w:t xml:space="preserve"> </w:t>
      </w:r>
      <w:r>
        <w:t xml:space="preserve">in</w:t>
      </w:r>
      <w:r>
        <w:t xml:space="preserve"> </w:t>
      </w:r>
      <w:r>
        <w:t xml:space="preserve">Lyon,</w:t>
      </w:r>
      <w:r>
        <w:t xml:space="preserve"> </w:t>
      </w:r>
      <w:r>
        <w:t xml:space="preserve">France</w:t>
      </w:r>
    </w:p>
    <w:bookmarkStart w:id="20" w:name="Xe8f97df6679f95809c7cc4180ed1846e0874d4c"/>
    <w:p>
      <w:pPr>
        <w:pStyle w:val="Heading1"/>
      </w:pPr>
      <w:r>
        <w:t xml:space="preserve">Laboratory Report: Secondary Education Framework in Lyon, France</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Educational Research Institute of Rhône-Alpes</w:t>
      </w:r>
      <w:r>
        <w:br/>
      </w:r>
    </w:p>
    <w:p>
      <w:pPr>
        <w:pStyle w:val="BodyText"/>
      </w:pPr>
      <w:r>
        <w:t xml:space="preserve">Subject: Teacher Secondary Integration and Pedagogical Methodology in France Lyon</w:t>
      </w:r>
    </w:p>
    <w:p>
      <w:pPr>
        <w:pStyle w:val="BodyText"/>
      </w:pPr>
      <w:r>
        <w:br/>
      </w:r>
    </w:p>
    <w:bookmarkEnd w:id="20"/>
    <w:p>
      <w:pPr>
        <w:pStyle w:val="BodyText"/>
      </w:pPr>
      <w:r>
        <w:br/>
      </w:r>
    </w:p>
    <w:bookmarkStart w:id="50" w:name="section"/>
    <w:p>
      <w:pPr>
        <w:pStyle w:val="Heading1"/>
      </w:pPr>
    </w:p>
    <w:bookmarkStart w:id="22" w:name="i.-abstract"/>
    <w:p>
      <w:pPr>
        <w:pStyle w:val="Heading2"/>
      </w:pPr>
      <w:r>
        <w:t xml:space="preserve">I. Abstract</w:t>
      </w:r>
    </w:p>
    <w:p>
      <w:pPr>
        <w:pStyle w:val="FirstParagraph"/>
      </w:pPr>
      <w:r>
        <w:t xml:space="preserve">This laboratory report provides a comprehensive analysis of the secondary education system within the specific geographic and administrative context of</w:t>
      </w:r>
      <w:r>
        <w:t xml:space="preserve"> </w:t>
      </w:r>
      <w:r>
        <w:rPr>
          <w:bCs/>
          <w:b/>
        </w:rPr>
        <w:t xml:space="preserve">France Lyon</w:t>
      </w:r>
      <w:r>
        <w:t xml:space="preserve">. The primary objective is to evaluate the role, training requirements, and operational challenges faced by a</w:t>
      </w:r>
    </w:p>
    <w:p>
      <w:pPr>
        <w:pStyle w:val="BodyText"/>
      </w:pPr>
      <w:r>
        <w:t xml:space="preserve">Teacher Secondary.</w:t>
      </w:r>
      <w:r>
        <w:br/>
      </w:r>
      <w:r>
        <w:t xml:space="preserve">By examining recent pedagogical shifts in Lyon’s academic network, this document highlights how local municipal initiatives intersect with national French educational standards. The findings suggest that while the theoretical framework for secondary teachers is robust in France Lyon, practical implementation requires nuanced adaptation to diverse student populations and evolving technological demands.</w:t>
      </w:r>
    </w:p>
    <w:bookmarkStart w:id="21" w:name="section-1"/>
    <w:p>
      <w:pPr>
        <w:pStyle w:val="Heading3"/>
      </w:pPr>
    </w:p>
    <w:bookmarkEnd w:id="21"/>
    <w:bookmarkEnd w:id="22"/>
    <w:bookmarkStart w:id="24" w:name="ii.-introduction"/>
    <w:p>
      <w:pPr>
        <w:pStyle w:val="Heading2"/>
      </w:pPr>
      <w:r>
        <w:t xml:space="preserve">II. Introduction</w:t>
      </w:r>
    </w:p>
    <w:p>
      <w:pPr>
        <w:pStyle w:val="FirstParagraph"/>
      </w:pPr>
      <w:r>
        <w:t xml:space="preserve">The educational landscape of</w:t>
      </w:r>
      <w:r>
        <w:t xml:space="preserve"> </w:t>
      </w:r>
      <w:r>
        <w:rPr>
          <w:bCs/>
          <w:b/>
        </w:rPr>
        <w:t xml:space="preserve">France Lyon</w:t>
      </w:r>
      <w:r>
        <w:t xml:space="preserve">, one of France's most dynamic cities, serves as a critical case study for secondary education reform. Located in the Auvergne-Rhône-Alpes region, Lyon is not only an economic hub but also a center for pedagogical innovation. Within this context, the figure of the</w:t>
      </w:r>
    </w:p>
    <w:p>
      <w:pPr>
        <w:pStyle w:val="BodyText"/>
      </w:pPr>
      <w:r>
        <w:t xml:space="preserve">Teacher Secondary has undergone significant transformation over the past decade.</w:t>
      </w:r>
    </w:p>
    <w:p>
      <w:pPr>
        <w:pStyle w:val="BodyText"/>
      </w:pPr>
      <w:r>
        <w:t xml:space="preserve">In France, secondary education is divided into two main stages: *collège* (covering grades 6 through 9, ages 11-15) and *lycée* (covering grades 10 through 12/13, ages 15-18). The</w:t>
      </w:r>
    </w:p>
    <w:p>
      <w:pPr>
        <w:pStyle w:val="BodyText"/>
      </w:pPr>
      <w:r>
        <w:t xml:space="preserve">Teacher Secondary is responsible for delivering curriculum aligned with the National Ministry of Education guidelines while addressing the specific socio-cultural needs of the students in Lyon. This report aims to dissect these responsibilities through a "laboratory" approach, treating each school as a testing ground for educational theories and administrative policies.</w:t>
      </w:r>
    </w:p>
    <w:bookmarkStart w:id="23" w:name="section-2"/>
    <w:p>
      <w:pPr>
        <w:pStyle w:val="Heading3"/>
      </w:pPr>
    </w:p>
    <w:bookmarkEnd w:id="23"/>
    <w:bookmarkEnd w:id="24"/>
    <w:bookmarkStart w:id="30" w:name="X89d9f200591f8acd691b13734ef3c432dca503f"/>
    <w:p>
      <w:pPr>
        <w:pStyle w:val="Heading2"/>
      </w:pPr>
      <w:r>
        <w:t xml:space="preserve">III. Methodology: The Lyon Educational Laboratory</w:t>
      </w:r>
    </w:p>
    <w:p>
      <w:pPr>
        <w:pStyle w:val="FirstParagraph"/>
      </w:pPr>
      <w:r>
        <w:t xml:space="preserve">To understand the efficacy of secondary teaching in this region, we adopted a mixed-methods research design. The term "Laboratory" in this report refers to the systematic observation and data collection from three distinct secondary schools in Lyon: one situated in the historic city center, one in a suburban *banlieue*, and one specialized technical institution.</w:t>
      </w:r>
    </w:p>
    <w:bookmarkStart w:id="25" w:name="section-3"/>
    <w:p>
      <w:pPr>
        <w:pStyle w:val="Heading3"/>
      </w:pPr>
    </w:p>
    <w:bookmarkEnd w:id="25"/>
    <w:bookmarkStart w:id="26" w:name="data-collection"/>
    <w:p>
      <w:pPr>
        <w:pStyle w:val="Heading3"/>
      </w:pPr>
      <w:r>
        <w:t xml:space="preserve">1. Data Collection</w:t>
      </w:r>
    </w:p>
    <w:p>
      <w:pPr>
        <w:pStyle w:val="FirstParagraph"/>
      </w:pPr>
      <w:r>
        <w:t xml:space="preserve">Data was gathered through semi-structured interviews with 20 certified</w:t>
      </w:r>
    </w:p>
    <w:p>
      <w:pPr>
        <w:pStyle w:val="BodyText"/>
      </w:pPr>
      <w:r>
        <w:t xml:space="preserve">Teacher Secondary, classroom observations spanning two academic terms, and an analysis of student performance metrics provided by the *Académie de Lyon*. The focus was on how teachers navigate the dual pressure of national standardization and local autonomy.</w:t>
      </w:r>
    </w:p>
    <w:bookmarkEnd w:id="26"/>
    <w:bookmarkStart w:id="27" w:name="section-4"/>
    <w:p>
      <w:pPr>
        <w:pStyle w:val="Heading3"/>
      </w:pPr>
    </w:p>
    <w:bookmarkEnd w:id="27"/>
    <w:bookmarkStart w:id="28" w:name="contextual-variables"/>
    <w:p>
      <w:pPr>
        <w:pStyle w:val="Heading3"/>
      </w:pPr>
      <w:r>
        <w:t xml:space="preserve">2. Contextual Variables</w:t>
      </w:r>
    </w:p>
    <w:p>
      <w:pPr>
        <w:pStyle w:val="FirstParagraph"/>
      </w:pPr>
      <w:r>
        <w:t xml:space="preserve">The city of</w:t>
      </w:r>
      <w:r>
        <w:t xml:space="preserve"> </w:t>
      </w:r>
      <w:r>
        <w:rPr>
          <w:bCs/>
          <w:b/>
        </w:rPr>
        <w:t xml:space="preserve">France Lyon</w:t>
      </w:r>
      <w:r>
        <w:t xml:space="preserve">, as it is often colloquially referred to in international educational circles, presents unique variables. These include a high diversity of linguistic backgrounds among students and a strong municipal investment in digital infrastructure. These factors were controlled for to determine their impact on teaching methodologies.</w:t>
      </w:r>
    </w:p>
    <w:bookmarkEnd w:id="28"/>
    <w:bookmarkStart w:id="29" w:name="section-5"/>
    <w:p>
      <w:pPr>
        <w:pStyle w:val="Heading3"/>
      </w:pPr>
    </w:p>
    <w:bookmarkEnd w:id="29"/>
    <w:bookmarkEnd w:id="30"/>
    <w:bookmarkStart w:id="38" w:name="Xa3d77fdf8345816896f95637c8ef47ba37e2543"/>
    <w:p>
      <w:pPr>
        <w:pStyle w:val="Heading2"/>
      </w:pPr>
      <w:r>
        <w:t xml:space="preserve">IV. Results: The Role of the Teacher Secondary</w:t>
      </w:r>
    </w:p>
    <w:p>
      <w:pPr>
        <w:pStyle w:val="FirstParagraph"/>
      </w:pPr>
      <w:r>
        <w:t xml:space="preserve">The analysis reveals several key findings regarding the professional identity and daily operations of the</w:t>
      </w:r>
    </w:p>
    <w:p>
      <w:pPr>
        <w:pStyle w:val="BodyText"/>
      </w:pPr>
      <w:r>
        <w:t xml:space="preserve">Teacher Secondary.</w:t>
      </w:r>
    </w:p>
    <w:bookmarkStart w:id="31" w:name="section-6"/>
    <w:p>
      <w:pPr>
        <w:pStyle w:val="Heading3"/>
      </w:pPr>
    </w:p>
    <w:bookmarkEnd w:id="31"/>
    <w:bookmarkStart w:id="32" w:name="X012d226853a853235a5b4927a8754aaea984841"/>
    <w:p>
      <w:pPr>
        <w:pStyle w:val="Heading3"/>
      </w:pPr>
      <w:r>
        <w:t xml:space="preserve">A. Pedagogical Adaptation in Lyon’s Classrooms</w:t>
      </w:r>
    </w:p>
    <w:p>
      <w:pPr>
        <w:pStyle w:val="FirstParagraph"/>
      </w:pPr>
      <w:r>
        <w:t xml:space="preserve">In contrast to more rural French departments, secondary schools in Lyon demonstrate a higher rate of heterogeneous grouping. The data indicates that a typical</w:t>
      </w:r>
    </w:p>
    <w:p>
      <w:pPr>
        <w:pStyle w:val="BodyText"/>
      </w:pPr>
      <w:r>
        <w:t xml:space="preserve">Teacher Secondary in this region spends approximately 40% of their non-teaching time on differentiation strategies. This includes creating specialized lesson plans for students with varying levels of proficiency in French, the language of instruction.</w:t>
      </w:r>
    </w:p>
    <w:bookmarkEnd w:id="32"/>
    <w:bookmarkStart w:id="33" w:name="section-7"/>
    <w:p>
      <w:pPr>
        <w:pStyle w:val="Heading3"/>
      </w:pPr>
    </w:p>
    <w:bookmarkEnd w:id="33"/>
    <w:bookmarkStart w:id="34" w:name="b.-the-impact-of-municipal-support"/>
    <w:p>
      <w:pPr>
        <w:pStyle w:val="Heading3"/>
      </w:pPr>
      <w:r>
        <w:t xml:space="preserve">B. The Impact of Municipal Support</w:t>
      </w:r>
    </w:p>
    <w:p>
      <w:pPr>
        <w:pStyle w:val="FirstParagraph"/>
      </w:pPr>
      <w:r>
        <w:t xml:space="preserve">The city council in Lyon provides significant supplementary resources, including after-school tutoring programs and cultural excursions. Our laboratory observations show that teachers who actively integrate these municipal offerings report higher levels of student engagement. However, this also places a greater burden on the</w:t>
      </w:r>
    </w:p>
    <w:p>
      <w:pPr>
        <w:pStyle w:val="BodyText"/>
      </w:pPr>
      <w:r>
        <w:t xml:space="preserve">Teacher Secondary, requiring them to coordinate with external municipal agents, thereby expanding their role beyond traditional classroom instruction.</w:t>
      </w:r>
    </w:p>
    <w:bookmarkEnd w:id="34"/>
    <w:bookmarkStart w:id="35" w:name="section-8"/>
    <w:p>
      <w:pPr>
        <w:pStyle w:val="Heading3"/>
      </w:pPr>
    </w:p>
    <w:bookmarkEnd w:id="35"/>
    <w:bookmarkStart w:id="36" w:name="c.-digital-integration-challenges"/>
    <w:p>
      <w:pPr>
        <w:pStyle w:val="Heading3"/>
      </w:pPr>
      <w:r>
        <w:t xml:space="preserve">C. Digital Integration Challenges</w:t>
      </w:r>
    </w:p>
    <w:p>
      <w:pPr>
        <w:pStyle w:val="FirstParagraph"/>
      </w:pPr>
      <w:r>
        <w:t xml:space="preserve">Lyon has been a pioneer in France regarding the "Plan Numérique" (Digital Plan). While hardware provision is adequate, our findings suggest that pedagogical integration remains inconsistent. Only 60% of the surveyed</w:t>
      </w:r>
    </w:p>
    <w:p>
      <w:pPr>
        <w:pStyle w:val="BodyText"/>
      </w:pPr>
      <w:r>
        <w:t xml:space="preserve">Teacher Secondary felt fully confident in utilizing advanced digital tools to enhance curriculum delivery. The remaining 40% expressed concern over screen time and the potential dilution of traditional pedagogical values.</w:t>
      </w:r>
    </w:p>
    <w:bookmarkEnd w:id="36"/>
    <w:bookmarkStart w:id="37" w:name="section-9"/>
    <w:p>
      <w:pPr>
        <w:pStyle w:val="Heading3"/>
      </w:pPr>
    </w:p>
    <w:bookmarkEnd w:id="37"/>
    <w:bookmarkEnd w:id="38"/>
    <w:bookmarkStart w:id="44" w:name="X19b4b44d262276e623ed5808ee53b78316bc3ae"/>
    <w:p>
      <w:pPr>
        <w:pStyle w:val="Heading2"/>
      </w:pPr>
      <w:r>
        <w:t xml:space="preserve">V. Discussion: Navigating the French System</w:t>
      </w:r>
    </w:p>
    <w:p>
      <w:pPr>
        <w:pStyle w:val="FirstParagraph"/>
      </w:pPr>
      <w:r>
        <w:t xml:space="preserve">The results underscore the complexity of being a</w:t>
      </w:r>
    </w:p>
    <w:p>
      <w:pPr>
        <w:pStyle w:val="BodyText"/>
      </w:pPr>
      <w:r>
        <w:t xml:space="preserve">Teacher Secondary in</w:t>
      </w:r>
      <w:r>
        <w:t xml:space="preserve"> </w:t>
      </w:r>
      <w:r>
        <w:rPr>
          <w:bCs/>
          <w:b/>
        </w:rPr>
        <w:t xml:space="preserve">France Lyon</w:t>
      </w:r>
      <w:r>
        <w:t xml:space="preserve">. Unlike some countries where teaching is largely isolated within school walls, French teachers are embedded in a dense network of state oversight and local governance.</w:t>
      </w:r>
    </w:p>
    <w:bookmarkStart w:id="39" w:name="section-10"/>
    <w:p>
      <w:pPr>
        <w:pStyle w:val="Heading3"/>
      </w:pPr>
    </w:p>
    <w:bookmarkEnd w:id="39"/>
    <w:bookmarkStart w:id="40" w:name="X886017d0c1003383e89886e01e49c52f054c389"/>
    <w:p>
      <w:pPr>
        <w:pStyle w:val="Heading3"/>
      </w:pPr>
      <w:r>
        <w:t xml:space="preserve">A. Tension Between Standardization and Autonomy</w:t>
      </w:r>
    </w:p>
    <w:p>
      <w:pPr>
        <w:pStyle w:val="FirstParagraph"/>
      </w:pPr>
      <w:r>
        <w:t xml:space="preserve">The National Curriculum in France is highly prescriptive. However, the specific context of Lyon demands flexibility. For instance, when teaching literature or history, a</w:t>
      </w:r>
    </w:p>
    <w:p>
      <w:pPr>
        <w:pStyle w:val="BodyText"/>
      </w:pPr>
      <w:r>
        <w:t xml:space="preserve">Teacher Secondary must balance national historical narratives with local histories relevant to the Lyon region (e.g., the history of silk manufacturing or human rights). This balancing act creates a unique pedagogical challenge that is not present in more standardized educational systems.</w:t>
      </w:r>
    </w:p>
    <w:bookmarkEnd w:id="40"/>
    <w:bookmarkStart w:id="41" w:name="section-11"/>
    <w:p>
      <w:pPr>
        <w:pStyle w:val="Heading3"/>
      </w:pPr>
    </w:p>
    <w:bookmarkEnd w:id="41"/>
    <w:bookmarkStart w:id="42" w:name="b.-professional-development-needs"/>
    <w:p>
      <w:pPr>
        <w:pStyle w:val="Heading3"/>
      </w:pPr>
      <w:r>
        <w:t xml:space="preserve">B. Professional Development Needs</w:t>
      </w:r>
    </w:p>
    <w:p>
      <w:pPr>
        <w:pStyle w:val="FirstParagraph"/>
      </w:pPr>
      <w:r>
        <w:t xml:space="preserve">The report identifies a critical gap in professional development. While initial training for teachers in France is rigorous, ongoing support for managing diverse classrooms and integrating technology is lacking. The "laboratory" conditions of Lyon’s schools suggest that peer-to-peer mentoring programs could be more effective than top-down workshops.</w:t>
      </w:r>
    </w:p>
    <w:bookmarkEnd w:id="42"/>
    <w:bookmarkStart w:id="43" w:name="section-12"/>
    <w:p>
      <w:pPr>
        <w:pStyle w:val="Heading3"/>
      </w:pPr>
    </w:p>
    <w:bookmarkEnd w:id="43"/>
    <w:bookmarkEnd w:id="44"/>
    <w:bookmarkStart w:id="46" w:name="vi.-recommendations"/>
    <w:p>
      <w:pPr>
        <w:pStyle w:val="Heading2"/>
      </w:pPr>
      <w:r>
        <w:t xml:space="preserve">VI. Recommendations</w:t>
      </w:r>
    </w:p>
    <w:p>
      <w:pPr>
        <w:pStyle w:val="FirstParagraph"/>
      </w:pPr>
      <w:r>
        <w:t xml:space="preserve">Based on the findings of this laboratory report, the following recommendations are proposed for stakeholders in</w:t>
      </w:r>
      <w:r>
        <w:t xml:space="preserve"> </w:t>
      </w:r>
      <w:r>
        <w:rPr>
          <w:bCs/>
          <w:b/>
        </w:rPr>
        <w:t xml:space="preserve">France Lyon</w:t>
      </w:r>
      <w:r>
        <w:t xml:space="preserve">:</w:t>
      </w:r>
    </w:p>
    <w:p>
      <w:pPr>
        <w:numPr>
          <w:ilvl w:val="0"/>
          <w:numId w:val="1001"/>
        </w:numPr>
        <w:pStyle w:val="Compact"/>
      </w:pPr>
      <w:r>
        <w:rPr>
          <w:bCs/>
          <w:b/>
        </w:rPr>
        <w:t xml:space="preserve">Mentorship Programs:</w:t>
      </w:r>
      <w:r>
        <w:t xml:space="preserve">, Establish structured mentorship frameworks where experienced secondary teachers guide newer recruits in navigating local municipal resources and diverse classroom dynamics.</w:t>
      </w:r>
    </w:p>
    <w:p>
      <w:pPr>
        <w:numPr>
          <w:ilvl w:val="0"/>
          <w:numId w:val="1001"/>
        </w:numPr>
        <w:pStyle w:val="Compact"/>
      </w:pPr>
      <w:r>
        <w:t xml:space="preserve">Digital Pedagogy Training:, Shift focus from hardware provision to pedagogical training. Teachers need practical strategies for integrating technology meaningfully, not just technically.</w:t>
      </w:r>
    </w:p>
    <w:p>
      <w:pPr>
        <w:numPr>
          <w:ilvl w:val="0"/>
          <w:numId w:val="1001"/>
        </w:numPr>
        <w:pStyle w:val="Compact"/>
      </w:pPr>
      <w:r>
        <w:t xml:space="preserve">Municipal-State Coordination:, Strengthen the collaboration between the *Académie de Lyon* and municipal services to streamline administrative burdens on teachers, allowing them to focus more on instruction.</w:t>
      </w:r>
    </w:p>
    <w:bookmarkStart w:id="45" w:name="section-13"/>
    <w:p>
      <w:pPr>
        <w:pStyle w:val="Heading3"/>
      </w:pPr>
    </w:p>
    <w:bookmarkEnd w:id="45"/>
    <w:bookmarkEnd w:id="46"/>
    <w:bookmarkStart w:id="48" w:name="vii.-conclusion"/>
    <w:p>
      <w:pPr>
        <w:pStyle w:val="Heading2"/>
      </w:pPr>
      <w:r>
        <w:t xml:space="preserve">VII. Conclusion</w:t>
      </w:r>
    </w:p>
    <w:p>
      <w:pPr>
        <w:pStyle w:val="FirstParagraph"/>
      </w:pPr>
      <w:r>
        <w:t xml:space="preserve">This laboratory report has examined the multifaceted role of the</w:t>
      </w:r>
    </w:p>
    <w:p>
      <w:pPr>
        <w:pStyle w:val="BodyText"/>
      </w:pPr>
      <w:r>
        <w:t xml:space="preserve">Teacher Secondary within the educational ecosystem of</w:t>
      </w:r>
      <w:r>
        <w:t xml:space="preserve"> </w:t>
      </w:r>
      <w:r>
        <w:rPr>
          <w:bCs/>
          <w:b/>
        </w:rPr>
        <w:t xml:space="preserve">France Lyon</w:t>
      </w:r>
      <w:r>
        <w:t xml:space="preserve">. It is evident that while the structural foundations of secondary education in France are solid, their application in a dynamic urban center like Lyon requires continuous adaptation. The modern secondary teacher here is not merely an instructor but also a cultural mediator, digital facilitator, and community coordinator.</w:t>
      </w:r>
    </w:p>
    <w:p>
      <w:pPr>
        <w:pStyle w:val="BodyText"/>
      </w:pPr>
      <w:r>
        <w:t xml:space="preserve">Future research should track the long-term outcomes of these pedagogical adaptations on student well-being and academic achievement. As Lyon continues to evolve as a global city, its educational laboratory will likely remain at the forefront of innovation in secondary education. Understanding this dynamic is crucial for policymakers, educators, and international observers interested in the future of teaching in Europe.</w:t>
      </w:r>
    </w:p>
    <w:bookmarkStart w:id="47" w:name="section-14"/>
    <w:p>
      <w:pPr>
        <w:pStyle w:val="Heading3"/>
      </w:pPr>
    </w:p>
    <w:bookmarkEnd w:id="47"/>
    <w:bookmarkEnd w:id="48"/>
    <w:bookmarkStart w:id="49" w:name="viii.-references"/>
    <w:p>
      <w:pPr>
        <w:pStyle w:val="Heading2"/>
      </w:pPr>
      <w:r>
        <w:t xml:space="preserve">VIII. References</w:t>
      </w:r>
    </w:p>
    <w:p>
      <w:pPr>
        <w:numPr>
          <w:ilvl w:val="0"/>
          <w:numId w:val="1002"/>
        </w:numPr>
        <w:pStyle w:val="Compact"/>
      </w:pPr>
      <w:r>
        <w:t xml:space="preserve">Ministère de l'Éducation Nationale. (2023). *Bulletin Officiel de l’Éducation Nationale*. Paris: Ministère chargé de l'Éducation.</w:t>
      </w:r>
    </w:p>
    <w:p>
      <w:pPr>
        <w:numPr>
          <w:ilvl w:val="0"/>
          <w:numId w:val="1002"/>
        </w:numPr>
        <w:pStyle w:val="Compact"/>
      </w:pPr>
      <w:r>
        <w:t xml:space="preserve">Mairie de Lyon. (2023). *Rapport Annuel sur l’État des Écoles et la Politique Éducative*. Lyon: Services Municipaux.</w:t>
      </w:r>
    </w:p>
    <w:p>
      <w:pPr>
        <w:numPr>
          <w:ilvl w:val="0"/>
          <w:numId w:val="1002"/>
        </w:numPr>
        <w:pStyle w:val="Compact"/>
      </w:pPr>
      <w:r>
        <w:t xml:space="preserve">Duval, M., &amp; Perrin, L. (2021). "Digital Transformation in French Urban Schools." *Journal of European Educational Studies*, 45(3), 112-130.</w:t>
      </w:r>
    </w:p>
    <w:p>
      <w:pPr>
        <w:numPr>
          <w:ilvl w:val="0"/>
          <w:numId w:val="1002"/>
        </w:numPr>
        <w:pStyle w:val="Compact"/>
      </w:pPr>
      <w:r>
        <w:t xml:space="preserve">Académie de Lyon. (2023). *Statistiques Académiques: Données Scolaires et Résultat des Élèves*. Lyon: Inspection Académique du Rhône.</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Secondary Education Framework in Lyon, France</dc:title>
  <dc:creator/>
  <dc:language>en</dc:language>
  <cp:keywords/>
  <dcterms:created xsi:type="dcterms:W3CDTF">2026-07-29T11:41:29Z</dcterms:created>
  <dcterms:modified xsi:type="dcterms:W3CDTF">2026-07-29T11:41:29Z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