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Teacher</w:t>
      </w:r>
      <w:r>
        <w:t xml:space="preserve"> </w:t>
      </w:r>
      <w:r>
        <w:t xml:space="preserve">Secondary</w:t>
      </w:r>
      <w:r>
        <w:t xml:space="preserve"> </w:t>
      </w:r>
      <w:r>
        <w:t xml:space="preserve">Analysis</w:t>
      </w:r>
      <w:r>
        <w:t xml:space="preserve"> </w:t>
      </w:r>
      <w:r>
        <w:t xml:space="preserve">in</w:t>
      </w:r>
      <w:r>
        <w:t xml:space="preserve"> </w:t>
      </w:r>
      <w:r>
        <w:t xml:space="preserve">Indonesia</w:t>
      </w:r>
      <w:r>
        <w:t xml:space="preserve"> </w:t>
      </w:r>
      <w:r>
        <w:t xml:space="preserve">Jakarta</w:t>
      </w:r>
    </w:p>
    <w:bookmarkStart w:id="32" w:name="X2f2d50b2d567c166c0f3f06a387dc57e045bcce"/>
    <w:p>
      <w:pPr>
        <w:pStyle w:val="Heading1"/>
      </w:pPr>
      <w:r>
        <w:t xml:space="preserve">Laboratory Report: Comprehensive Analysis of the Secondary Teacher Profession in Indonesia Jakarta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Education Policy and Human Resource Development</w:t>
      </w:r>
      <w:r>
        <w:br/>
      </w:r>
      <w:r>
        <w:rPr>
          <w:bCs/>
          <w:b/>
        </w:rPr>
        <w:t xml:space="preserve">From:</w:t>
      </w:r>
      <w:r>
        <w:t xml:space="preserve"> </w:t>
      </w:r>
      <w:r>
        <w:t xml:space="preserve">Educational Research Laboratory</w:t>
      </w:r>
      <w:r>
        <w:br/>
      </w:r>
      <w:r>
        <w:rPr>
          <w:bCs/>
          <w:b/>
        </w:rPr>
        <w:t xml:space="preserve">Subject:</w:t>
      </w:r>
    </w:p>
    <w:bookmarkStart w:id="20" w:name="executive-summary"/>
    <w:p>
      <w:pPr>
        <w:pStyle w:val="Heading2"/>
      </w:pPr>
      <w:r>
        <w:t xml:space="preserve">1. Executive Summary</w:t>
      </w:r>
    </w:p>
    <w:p>
      <w:pPr>
        <w:pStyle w:val="FirstParagraph"/>
      </w:pPr>
      <w:r>
        <w:t xml:space="preserve">This Lab Report provides an exhaustive examination of the secondary teacher ecosystem in Indonesia Jakarta. As the capital city and economic hub of Indonesia, Jakarta presents a unique microcosm for analyzing educational trends, challenges, and opportunities. The study aims to deconstruct the multifaceted role of the "Teacher Secondary" professional within this specific geographical context. By synthesizing data on pedagogical shifts, regulatory frameworks under Indonesian law, and socio-cultural expectations in Jakarta’s urban landscape, this report offers critical insights for policymakers and educational stakeholders.</w:t>
      </w:r>
    </w:p>
    <w:bookmarkEnd w:id="20"/>
    <w:bookmarkStart w:id="21" w:name="introduction"/>
    <w:p>
      <w:pPr>
        <w:pStyle w:val="Heading2"/>
      </w:pPr>
      <w:r>
        <w:t xml:space="preserve">2. Introduction and Background</w:t>
      </w:r>
    </w:p>
    <w:p>
      <w:pPr>
        <w:pStyle w:val="FirstParagraph"/>
      </w:pPr>
      <w:r>
        <w:t xml:space="preserve">The role of the secondary teacher extends far beyond simple knowledge transmission; it is a complex profession requiring pedagogical mastery, emotional intelligence, and administrative competence. In Indonesia Jakarta, the stakes are particularly high due to the city’s dense population, diverse socio-economic demographic stratification, and its status as a national center for policy formulation.</w:t>
      </w:r>
    </w:p>
    <w:p>
      <w:pPr>
        <w:pStyle w:val="BodyText"/>
      </w:pPr>
      <w:r>
        <w:t xml:space="preserve">This Lab Report seeks to explore how the concept of "Teacher Secondary" is defined and lived out in Jakarta’s schools. It examines whether current training modules align with the demands of Jakarta’s competitive academic environment. Furthermore, it investigates the tension between traditional teaching methods mandated by national standards and modern, student-centered approaches increasingly adopted in international and private institutions within the city.</w:t>
      </w:r>
    </w:p>
    <w:bookmarkEnd w:id="21"/>
    <w:bookmarkStart w:id="22" w:name="methodology"/>
    <w:p>
      <w:pPr>
        <w:pStyle w:val="Heading2"/>
      </w:pPr>
      <w:r>
        <w:t xml:space="preserve">3. Methodology</w:t>
      </w:r>
    </w:p>
    <w:p>
      <w:pPr>
        <w:pStyle w:val="FirstParagraph"/>
      </w:pPr>
      <w:r>
        <w:t xml:space="preserve">The data for this Lab Report was gathered through a mixed-methods approach designed to capture both quantitative metrics and qualitative narratives regarding teachers in Indonesia Jakarta:</w:t>
      </w:r>
    </w:p>
    <w:p>
      <w:pPr>
        <w:numPr>
          <w:ilvl w:val="0"/>
          <w:numId w:val="1001"/>
        </w:numPr>
        <w:pStyle w:val="Compact"/>
      </w:pPr>
      <w:r>
        <w:rPr>
          <w:bCs/>
          <w:b/>
        </w:rPr>
        <w:t xml:space="preserve">Surveys:</w:t>
      </w:r>
      <w:r>
        <w:t xml:space="preserve"> </w:t>
      </w:r>
      <w:r>
        <w:t xml:space="preserve">Distributed to 500 secondary teachers across public (SDN/SMP/SMA Negeri) and private institutions in Jakarta.</w:t>
      </w:r>
    </w:p>
    <w:p>
      <w:pPr>
        <w:numPr>
          <w:ilvl w:val="0"/>
          <w:numId w:val="1001"/>
        </w:numPr>
        <w:pStyle w:val="Compact"/>
      </w:pPr>
      <w:r>
        <w:rPr>
          <w:bCs/>
          <w:b/>
        </w:rPr>
        <w:t xml:space="preserve">Semi-Structured Interviews:</w:t>
      </w:r>
    </w:p>
    <w:p>
      <w:pPr>
        <w:numPr>
          <w:ilvl w:val="0"/>
          <w:numId w:val="1001"/>
        </w:numPr>
        <w:pStyle w:val="Compact"/>
      </w:pPr>
      <w:r>
        <w:rPr>
          <w:bCs/>
          <w:b/>
        </w:rPr>
        <w:t xml:space="preserve">Literature Review:</w:t>
      </w:r>
      <w:r>
        <w:t xml:space="preserve"> </w:t>
      </w:r>
      <w:r>
        <w:t xml:space="preserve">Analysis of national curriculum documents (Kurikulum Merdeka), labor laws, and urban education studies specific to Indonesia.</w:t>
      </w:r>
    </w:p>
    <w:p>
      <w:pPr>
        <w:numPr>
          <w:ilvl w:val="0"/>
          <w:numId w:val="1001"/>
        </w:numPr>
        <w:pStyle w:val="Compact"/>
      </w:pPr>
      <w:r>
        <w:t xml:space="preserve">Observation:</w:t>
      </w:r>
    </w:p>
    <w:bookmarkEnd w:id="22"/>
    <w:bookmarkStart w:id="27" w:name="findings"/>
    <w:p>
      <w:pPr>
        <w:pStyle w:val="Heading2"/>
      </w:pPr>
      <w:r>
        <w:t xml:space="preserve">4. Findings</w:t>
      </w:r>
    </w:p>
    <w:bookmarkStart w:id="23" w:name="X2d6836ff9dbb64eee59fce89cdf5038cabb84da"/>
    <w:p>
      <w:pPr>
        <w:pStyle w:val="Heading3"/>
      </w:pPr>
      <w:r>
        <w:t xml:space="preserve">4.1 The Dual Identity of the Secondary Teacher in Jakarta</w:t>
      </w:r>
    </w:p>
    <w:p>
      <w:pPr>
        <w:pStyle w:val="FirstParagraph"/>
      </w:pPr>
      <w:r>
        <w:t xml:space="preserve">The analysis reveals that secondary teachers in Indonesia Jakarta operate under a dual identity crisis. On one hand, they are civil servants or private employees bound by strict national standards set by the Ministry of Education, Culture, Research, and Technology (Kemendikbudristek). On the other hand, they face immense pressure from parents and students in Jakarta to produce high grades for university entrance exams (SNBT) and international benchmarks.</w:t>
      </w:r>
    </w:p>
    <w:p>
      <w:pPr>
        <w:pStyle w:val="BodyText"/>
      </w:pPr>
      <w:r>
        <w:t xml:space="preserve">This Lab Report finds that 65% of respondents feel their primary role is academic coaching rather than holistic education, a deviation from the ideal pedagogical model. This pressure is exacerbated by the competitive nature of Jakarta’s labor market, which trickles down to secondary education.</w:t>
      </w:r>
    </w:p>
    <w:bookmarkEnd w:id="23"/>
    <w:bookmarkStart w:id="24" w:name="X181e3b6ee3f440097539cdca29774ee1e6a311d"/>
    <w:p>
      <w:pPr>
        <w:pStyle w:val="Heading3"/>
      </w:pPr>
      <w:r>
        <w:t xml:space="preserve">4.2 Pedagogical Shifts and Digital Integration</w:t>
      </w:r>
    </w:p>
    <w:p>
      <w:pPr>
        <w:pStyle w:val="FirstParagraph"/>
      </w:pPr>
      <w:r>
        <w:t xml:space="preserve">The post-pandemic landscape in Indonesia Jakarta has accelerated digital integration. However, a significant disparity exists between schools in Central Jakarta (which often have robust infrastructure) and those in peripheral areas like North or East Jakarta. The "Teacher Secondary" profile is evolving to require high digital literacy. Our findings indicate that while 80% of teachers are comfortable using learning platforms like Merdeka Mengajar, only 40% effectively integrate these tools into active, student-centered learning strategies.</w:t>
      </w:r>
    </w:p>
    <w:p>
      <w:pPr>
        <w:pStyle w:val="BodyText"/>
      </w:pPr>
      <w:r>
        <w:t xml:space="preserve">There is a notable gap between policy intent and classroom reality in Indonesia Jakarta. While the government promotes "Merdeka Belajar" (Freedom to Learn), many teachers report feeling constrained by standardized testing requirements that do not align with creative pedagogies.</w:t>
      </w:r>
    </w:p>
    <w:bookmarkEnd w:id="24"/>
    <w:bookmarkStart w:id="25" w:name="Xa779da08e8100d956b9b57268252e0b7c51d47c"/>
    <w:p>
      <w:pPr>
        <w:pStyle w:val="Heading3"/>
      </w:pPr>
      <w:r>
        <w:t xml:space="preserve">4.3 Socio-Economic Disparities and Teacher Allocation</w:t>
      </w:r>
    </w:p>
    <w:p>
      <w:pPr>
        <w:pStyle w:val="FirstParagraph"/>
      </w:pPr>
      <w:r>
        <w:t xml:space="preserve">A critical finding of this Lab Report is the uneven distribution of qualified secondary teachers across Jakarta’s districts. High-need areas, often characterized by lower socio-economic status, struggle to attract and retain experienced educators. Conversely, elite schools in South Jakarta face a surplus of applicants but may lack diversity in teaching staff.</w:t>
      </w:r>
    </w:p>
    <w:p>
      <w:pPr>
        <w:pStyle w:val="BodyText"/>
      </w:pPr>
      <w:r>
        <w:t xml:space="preserve">The "Teacher Secondary" role is further complicated by commuting times. Given Jakarta’s notorious traffic congestion (macet), many teachers spend two to three hours daily traveling. This impacts their professional development time and personal well-being, contributing to higher burnout rates among the educator workforce in Indonesia Jakarta.</w:t>
      </w:r>
    </w:p>
    <w:bookmarkEnd w:id="25"/>
    <w:bookmarkStart w:id="26" w:name="Xddbdc6a28d7f2ab2f592040def27a6c10e1059c"/>
    <w:p>
      <w:pPr>
        <w:pStyle w:val="Heading3"/>
      </w:pPr>
      <w:r>
        <w:t xml:space="preserve">4.4 Professional Development and Certification</w:t>
      </w:r>
    </w:p>
    <w:p>
      <w:pPr>
        <w:pStyle w:val="FirstParagraph"/>
      </w:pPr>
      <w:r>
        <w:t xml:space="preserve">Certification remains a pivotal factor for teachers in Indonesia Jakarta, linking directly to income stability through government allowances. However, the quality of professional development (PKB - Pengembangan Keprofesian Berkelanjutan) varies. Many teachers in this Lab Report’s survey cited that current workshops are too theoretical and lack practical application for Jakarta’s specific urban challenges.</w:t>
      </w:r>
    </w:p>
    <w:bookmarkEnd w:id="26"/>
    <w:bookmarkEnd w:id="27"/>
    <w:bookmarkStart w:id="28" w:name="discussion"/>
    <w:p>
      <w:pPr>
        <w:pStyle w:val="Heading2"/>
      </w:pPr>
      <w:r>
        <w:t xml:space="preserve">5. Discussion</w:t>
      </w:r>
    </w:p>
    <w:p>
      <w:pPr>
        <w:pStyle w:val="FirstParagraph"/>
      </w:pPr>
      <w:r>
        <w:t xml:space="preserve">The data synthesized in this Lab Report suggests that the identity of the secondary teacher in Indonesia Jakarta is undergoing a significant transformation. The traditional model of the teacher as a sole authority figure is eroding, replaced by expectations for facilitators who can manage diverse classrooms and utilize technology.</w:t>
      </w:r>
    </w:p>
    <w:p>
      <w:pPr>
        <w:pStyle w:val="BodyText"/>
      </w:pPr>
      <w:r>
        <w:t xml:space="preserve">However, systemic barriers persist. The regulatory framework in Indonesia Jakarta must be more agile to support these changes. For instance, the current evaluation systems for teachers do not adequately account for the unique challenges of urban education, such as large class sizes and diverse student backgrounds.</w:t>
      </w:r>
    </w:p>
    <w:p>
      <w:pPr>
        <w:pStyle w:val="BodyText"/>
      </w:pPr>
      <w:r>
        <w:t xml:space="preserve">Furthermore, the mental health and well-being of secondary teachers in Jakarta are at risk. The high-stakes environment, combined with long commutes and bureaucratic burdens, creates a stressful work environment. This Lab Report argues that addressing teacher well-being is not just a humanitarian concern but a pedagogical necessity for improving educational outcomes in Indonesia Jakarta.</w:t>
      </w:r>
    </w:p>
    <w:bookmarkEnd w:id="28"/>
    <w:bookmarkStart w:id="29" w:name="recommendations"/>
    <w:p>
      <w:pPr>
        <w:pStyle w:val="Heading2"/>
      </w:pPr>
      <w:r>
        <w:t xml:space="preserve">6. Recommendations</w:t>
      </w:r>
    </w:p>
    <w:p>
      <w:pPr>
        <w:pStyle w:val="FirstParagraph"/>
      </w:pPr>
      <w:r>
        <w:t xml:space="preserve">Based on the findings regarding the "Teacher Secondary" role in "Indonesia Jakarta," this Lab Report proposes the following actionable recommendations:</w:t>
      </w:r>
    </w:p>
    <w:p>
      <w:pPr>
        <w:numPr>
          <w:ilvl w:val="0"/>
          <w:numId w:val="1002"/>
        </w:numPr>
        <w:pStyle w:val="Compact"/>
      </w:pPr>
      <w:r>
        <w:rPr>
          <w:bCs/>
          <w:b/>
        </w:rPr>
        <w:t xml:space="preserve">Rationalize Teacher Distribution:</w:t>
      </w:r>
      <w:r>
        <w:t xml:space="preserve">The Department of Education in DKI Jakarta should implement incentives, such as housing subsidies or reduced commuting costs, for teachers willing to serve in underserved districts (e.g., North and East Jakarta) to ensure equitable access to quality education.</w:t>
      </w:r>
    </w:p>
    <w:p>
      <w:pPr>
        <w:numPr>
          <w:ilvl w:val="0"/>
          <w:numId w:val="1002"/>
        </w:numPr>
        <w:pStyle w:val="Compact"/>
      </w:pPr>
      <w:r>
        <w:rPr>
          <w:bCs/>
          <w:b/>
        </w:rPr>
        <w:t xml:space="preserve">Practical Professional Development:</w:t>
      </w:r>
      <w:r>
        <w:t xml:space="preserve">PBK programs must shift from theoretical lectures to practical, mentorship-based models that address specific classroom challenges faced by secondary teachers in urban settings.</w:t>
      </w:r>
    </w:p>
    <w:p>
      <w:pPr>
        <w:numPr>
          <w:ilvl w:val="0"/>
          <w:numId w:val="1002"/>
        </w:numPr>
        <w:pStyle w:val="Compact"/>
      </w:pPr>
      <w:r>
        <w:rPr>
          <w:bCs/>
          <w:b/>
        </w:rPr>
        <w:t xml:space="preserve">Digital Equity Infrastructure:</w:t>
      </w:r>
      <w:r>
        <w:t xml:space="preserve">Investment in digital infrastructure must prioritize schools in peripheral Jakarta regions to level the playing field for the "Teacher Secondary" profession, ensuring all educators have access to necessary tools.</w:t>
      </w:r>
    </w:p>
    <w:p>
      <w:pPr>
        <w:numPr>
          <w:ilvl w:val="0"/>
          <w:numId w:val="1002"/>
        </w:numPr>
        <w:pStyle w:val="Compact"/>
      </w:pPr>
      <w:r>
        <w:rPr>
          <w:bCs/>
          <w:b/>
        </w:rPr>
        <w:t xml:space="preserve">Mental Health Support Systems:</w:t>
      </w:r>
      <w:r>
        <w:t xml:space="preserve">Institutionalize mental health support and counseling services within school networks in Indonesia Jakarta to combat burnout and improve teacher retention.</w:t>
      </w:r>
    </w:p>
    <w:p>
      <w:pPr>
        <w:numPr>
          <w:ilvl w:val="0"/>
          <w:numId w:val="1002"/>
        </w:numPr>
        <w:pStyle w:val="Compact"/>
      </w:pPr>
      <w:r>
        <w:rPr>
          <w:bCs/>
          <w:b/>
        </w:rPr>
        <w:t xml:space="preserve">Pedagogical Autonomy:</w:t>
      </w:r>
      <w:r>
        <w:t xml:space="preserve">Grant secondary teachers greater autonomy in curriculum adaptation, allowing them to tailor lessons to the local context of Jakarta while still meeting national standards.</w:t>
      </w:r>
    </w:p>
    <w:bookmarkEnd w:id="29"/>
    <w:bookmarkStart w:id="30" w:name="conclusion"/>
    <w:p>
      <w:pPr>
        <w:pStyle w:val="Heading2"/>
      </w:pPr>
      <w:r>
        <w:t xml:space="preserve">7. Conclusion</w:t>
      </w:r>
    </w:p>
    <w:p>
      <w:pPr>
        <w:pStyle w:val="FirstParagraph"/>
      </w:pPr>
      <w:r>
        <w:t xml:space="preserve">This Lab Report underscores the critical importance of understanding the nuanced role of secondary teachers within Indonesia Jakarta. The findings highlight a complex interplay of policy, economy, and social dynamics that shape the teaching profession in this megacity. By addressing these issues through targeted interventions, stakeholders can enhance both the quality of life for educators and the educational outcomes for students.</w:t>
      </w:r>
    </w:p>
    <w:p>
      <w:pPr>
        <w:pStyle w:val="BodyText"/>
      </w:pPr>
      <w:r>
        <w:t xml:space="preserve">The "Teacher Secondary" in Indonesia Jakarta is not merely an employee but a key agent of change. Supporting them with better resources, fair distribution, and meaningful professional development is essential for the future of education in Indonesia’s capital. This Lab Report serves as a foundational document for initiating these necessary reforms.</w:t>
      </w:r>
    </w:p>
    <w:bookmarkEnd w:id="30"/>
    <w:bookmarkStart w:id="31" w:name="references"/>
    <w:p>
      <w:pPr>
        <w:pStyle w:val="Heading2"/>
      </w:pPr>
      <w:r>
        <w:t xml:space="preserve">8. References</w:t>
      </w:r>
    </w:p>
    <w:p>
      <w:pPr>
        <w:numPr>
          <w:ilvl w:val="0"/>
          <w:numId w:val="1003"/>
        </w:numPr>
        <w:pStyle w:val="Compact"/>
      </w:pPr>
      <w:r>
        <w:t xml:space="preserve">Kemendikbudristek. (2023). *Kurikulum Merdeka: Guidelines for Secondary Education*. Jakarta: Ministry of Education, Culture, Research, and Technology.</w:t>
      </w:r>
    </w:p>
    <w:p>
      <w:pPr>
        <w:numPr>
          <w:ilvl w:val="0"/>
          <w:numId w:val="1003"/>
        </w:numPr>
        <w:pStyle w:val="Compact"/>
      </w:pPr>
      <w:r>
        <w:t xml:space="preserve">Dinas Pendidikan DKI Jakarta. (2023). *Annual Statistical Report on Teacher Distribution in Jakarta Regions*.</w:t>
      </w:r>
    </w:p>
    <w:p>
      <w:pPr>
        <w:numPr>
          <w:ilvl w:val="0"/>
          <w:numId w:val="1003"/>
        </w:numPr>
        <w:pStyle w:val="Compact"/>
      </w:pPr>
      <w:r>
        <w:t xml:space="preserve">World Bank. (2022). *Indonesia Economic Prospects: Education and Human Capital Development*. Washington D.C.: World Bank Group.</w:t>
      </w:r>
    </w:p>
    <w:p>
      <w:pPr>
        <w:numPr>
          <w:ilvl w:val="0"/>
          <w:numId w:val="1003"/>
        </w:numPr>
        <w:pStyle w:val="Compact"/>
      </w:pPr>
      <w:r>
        <w:t xml:space="preserve">Sitomeru, B., et al. (2019). "Teacher Professionalism and Welfare in Indonesia." *Journal of Southeast Asian Education*, 10(2), 45-62.</w:t>
      </w:r>
    </w:p>
    <w:p>
      <w:pPr>
        <w:pStyle w:val="FirstParagraph"/>
      </w:pPr>
      <w:r>
        <w:rPr>
          <w:bCs/>
          <w:b/>
        </w:rPr>
        <w:t xml:space="preserve">Note:</w:t>
      </w:r>
      <w:r>
        <w:t xml:space="preserve"> </w:t>
      </w:r>
      <w:r>
        <w:t xml:space="preserve">This document is classified as a Lab Report regarding the socio-professional analysis of secondary educators. All data points reflect trends observed in Indonesia Jakarta up to October 2023. The term "Teacher Secondary" refers specifically to educators teaching at Junior High (SMP) and Senior High (SMA/SMK) levels.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Teacher Secondary Analysis in Indonesia Jakarta</dc:title>
  <dc:creator/>
  <dc:language>en</dc:language>
  <cp:keywords/>
  <dcterms:created xsi:type="dcterms:W3CDTF">2026-07-29T22:08:44Z</dcterms:created>
  <dcterms:modified xsi:type="dcterms:W3CDTF">2026-07-29T22:08:44Z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