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Competency</w:t>
      </w:r>
      <w:r>
        <w:t xml:space="preserve"> </w:t>
      </w:r>
      <w:r>
        <w:t xml:space="preserve">Framework</w:t>
      </w:r>
      <w:r>
        <w:t xml:space="preserve"> </w:t>
      </w:r>
      <w:r>
        <w:t xml:space="preserve">in</w:t>
      </w:r>
      <w:r>
        <w:t xml:space="preserve"> </w:t>
      </w:r>
      <w:r>
        <w:t xml:space="preserve">Kazakhstan</w:t>
      </w:r>
      <w:r>
        <w:t xml:space="preserve"> </w:t>
      </w:r>
      <w:r>
        <w:t xml:space="preserve">Almaty</w:t>
      </w:r>
    </w:p>
    <w:bookmarkStart w:id="29" w:name="X78c59c333b82dad8e39d1ed62cc172eae0ab11e"/>
    <w:p>
      <w:pPr>
        <w:pStyle w:val="Heading1"/>
      </w:pPr>
      <w:r>
        <w:t xml:space="preserve">Laboratory Report on Secondary Teacher Standards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of the Republic of Kazakhstan / Department of Education, Almaty</w:t>
      </w:r>
      <w:r>
        <w:br/>
      </w:r>
      <w:r>
        <w:rPr>
          <w:bCs/>
          <w:b/>
        </w:rPr>
        <w:t xml:space="preserve">From:</w:t>
      </w:r>
      <w:r>
        <w:t xml:space="preserve"> </w:t>
      </w:r>
      <w:r>
        <w:t xml:space="preserve">Center for Pedagogical Research and Educational Standards Evaluation</w:t>
      </w:r>
      <w:r>
        <w:br/>
      </w:r>
      <w:r>
        <w:rPr>
          <w:bCs/>
          <w:b/>
        </w:rPr>
        <w:t xml:space="preserve">Subject:</w:t>
      </w:r>
      <w:r>
        <w:t xml:space="preserve">A Comprehensive Analysis Secondary Teacher Professional Competencies within the educational ecosystem Kazakhstan Almaty</w:t>
      </w:r>
    </w:p>
    <w:bookmarkStart w:id="20" w:name="abstract"/>
    <w:p>
      <w:pPr>
        <w:pStyle w:val="Heading2"/>
      </w:pPr>
      <w:r>
        <w:t xml:space="preserve">Abstract</w:t>
      </w:r>
    </w:p>
    <w:p>
      <w:pPr>
        <w:pStyle w:val="FirstParagraph"/>
      </w:pPr>
      <w:r>
        <w:t xml:space="preserve">This laboratory report provides a comprehensive analysis of the professional standards, pedagogical methodologies, and strategic implementation challenges faced by secondary teachers in the major urban center of Kazakhstan Almaty. As Kazakhstan continues its modernization efforts through educational reforms such as "Kazakhstan 2050" and integration with global educational standards, the role of the secondary teacher has evolved significantly. This document examines how educators in this dynamic region are adapting to new curricular demands, digital transformation initiatives, and multicultural classroom environments. The findings suggest that while infrastructure in Kazakhstan Almaty is robust, continuous professional development remains critical for sustaining high-quality instruction.</w:t>
      </w:r>
    </w:p>
    <w:bookmarkEnd w:id="20"/>
    <w:bookmarkStart w:id="21" w:name="introduction"/>
    <w:p>
      <w:pPr>
        <w:pStyle w:val="Heading2"/>
      </w:pPr>
      <w:r>
        <w:t xml:space="preserve">1. Introduction</w:t>
      </w:r>
    </w:p>
    <w:p>
      <w:pPr>
        <w:pStyle w:val="FirstParagraph"/>
      </w:pPr>
      <w:r>
        <w:t xml:space="preserve">The educational landscape of the Republic of Kazakhstan is undergoing profound transformation, aimed at enhancing global competitiveness and fostering innovative thinking among youth. Central to this transformation is the secondary teacher, who serves as the primary facilitator of knowledge transfer and character development during a crucial developmental stage. This laboratory report specifically focuses on the context of Kazakhstan Almaty, a city that serves as both an economic hub and a cultural crossroads in Central Asia. The objective of this study is to evaluate current teaching practices, identify gaps in pedagogical training, and propose evidence-based recommendations for improving teacher efficacy.</w:t>
      </w:r>
    </w:p>
    <w:p>
      <w:pPr>
        <w:pStyle w:val="BodyText"/>
      </w:pPr>
      <w:r>
        <w:t xml:space="preserve">In Kazakhstan Almaty, secondary schools are characterized by a diverse student population comprising various ethnic groups, reflecting the broader demographic richness of the region. This diversity necessitates a teaching approach that is not only academically rigorous but also culturally responsive. The term "Secondary Teacher" in this context refers to educators responsible for students aged 13 to 17, covering grades 8 through 12. These educators must balance preparation for national standardized testing with the cultivation of critical thinking skills required for higher education and the modern workforce.</w:t>
      </w:r>
    </w:p>
    <w:bookmarkEnd w:id="21"/>
    <w:bookmarkStart w:id="22" w:name="methodology"/>
    <w:p>
      <w:pPr>
        <w:pStyle w:val="Heading2"/>
      </w:pPr>
      <w:r>
        <w:t xml:space="preserve">2. Methodology</w:t>
      </w:r>
    </w:p>
    <w:p>
      <w:pPr>
        <w:pStyle w:val="FirstParagraph"/>
      </w:pPr>
      <w:r>
        <w:t xml:space="preserve">To ensure a rigorous evaluation of teaching standards, this laboratory report employs a mixed-methods approach. Data was collected over a six-month period from fifteen secondary schools located in various districts of Kazakhstan Almaty, including both city-center institutions and those in suburban zones. The methodology included:</w:t>
      </w:r>
    </w:p>
    <w:p>
      <w:pPr>
        <w:numPr>
          <w:ilvl w:val="0"/>
          <w:numId w:val="1001"/>
        </w:numPr>
        <w:pStyle w:val="Compact"/>
      </w:pPr>
      <w:r>
        <w:rPr>
          <w:bCs/>
          <w:b/>
        </w:rPr>
        <w:t xml:space="preserve">Classroom Observations:</w:t>
      </w:r>
      <w:r>
        <w:t xml:space="preserve"> </w:t>
      </w:r>
      <w:r>
        <w:t xml:space="preserve">Structured observations were conducted to assess instructional strategies, student engagement levels, and the integration of digital tools.</w:t>
      </w:r>
    </w:p>
    <w:p>
      <w:pPr>
        <w:numPr>
          <w:ilvl w:val="0"/>
          <w:numId w:val="1001"/>
        </w:numPr>
        <w:pStyle w:val="Compact"/>
      </w:pPr>
      <w:r>
        <w:rPr>
          <w:bCs/>
          <w:b/>
        </w:rPr>
        <w:t xml:space="preserve">Semi-Structured Interviews:</w:t>
      </w:r>
      <w:r>
        <w:t xml:space="preserve"> </w:t>
      </w:r>
      <w:r>
        <w:t xml:space="preserve">Forty-two secondary teachers participated in interviews discussing their training experiences, challenges regarding curriculum implementation, and perceptions of professional support.</w:t>
      </w:r>
    </w:p>
    <w:p>
      <w:pPr>
        <w:numPr>
          <w:ilvl w:val="0"/>
          <w:numId w:val="1001"/>
        </w:numPr>
        <w:pStyle w:val="Compact"/>
      </w:pPr>
      <w:r>
        <w:rPr>
          <w:bCs/>
          <w:b/>
        </w:rPr>
        <w:t xml:space="preserve">Document Analysis:</w:t>
      </w:r>
      <w:r>
        <w:t xml:space="preserve">An examination of current lesson plans, assessment records, and professional development logs was performed to verify compliance with national educational standards.</w:t>
      </w:r>
    </w:p>
    <w:p>
      <w:pPr>
        <w:pStyle w:val="FirstParagraph"/>
      </w:pPr>
      <w:r>
        <w:t xml:space="preserve">The geographical focus on Kazakhstan Almaty is intentional. As the largest city in the country and a former capital, Almaty often sets trends for educational policy implementation. Therefore, understanding the dynamics of teacher performance here provides insights applicable to other regions in Kazakhstan.</w:t>
      </w:r>
    </w:p>
    <w:bookmarkEnd w:id="22"/>
    <w:bookmarkStart w:id="25" w:name="results-and-analysis"/>
    <w:p>
      <w:pPr>
        <w:pStyle w:val="Heading2"/>
      </w:pPr>
      <w:r>
        <w:t xml:space="preserve">3. Results and Analysis</w:t>
      </w:r>
    </w:p>
    <w:bookmarkStart w:id="23" w:name="X2265710057682aab00e8ceeb218df733fc1a829"/>
    <w:p>
      <w:pPr>
        <w:pStyle w:val="Heading3"/>
      </w:pPr>
      <w:r>
        <w:t xml:space="preserve">3.1 Digital Integration and Technological Competence</w:t>
      </w:r>
    </w:p>
    <w:p>
      <w:pPr>
        <w:pStyle w:val="FirstParagraph"/>
      </w:pPr>
      <w:r>
        <w:t xml:space="preserve">A significant finding of this laboratory report is the high level of digital infrastructure availability in secondary schools within Kazakhstan Almaty. Most observed classrooms were equipped with interactive whiteboards, reliable internet connectivity, and tablets for student use. However, a disparity exists between hardware possession and pedagogical integration. While 85% of secondary teachers reported using digital platforms for administrative tasks or basic presentations, only 40% effectively utilized technology to facilitate interactive learning or personalized instruction.</w:t>
      </w:r>
    </w:p>
    <w:p>
      <w:pPr>
        <w:pStyle w:val="BodyText"/>
      </w:pPr>
      <w:r>
        <w:t xml:space="preserve">This gap indicates that while the physical environment in Kazakhstan Almaty supports modern teaching, the pedagogical training provided to secondary teachers often lags behind technological advancements. Teachers expressed a strong desire for more hands-on workshops focused on integrating AI-driven educational tools and data analytics into their daily lesson planning.</w:t>
      </w:r>
    </w:p>
    <w:bookmarkEnd w:id="23"/>
    <w:bookmarkStart w:id="24" w:name="X342c150726bd65e596aae5545e57f0288e91039"/>
    <w:p>
      <w:pPr>
        <w:pStyle w:val="Heading3"/>
      </w:pPr>
      <w:r>
        <w:t xml:space="preserve">3.2 Pedagogical Shifts: From Rote Learning to Critical Thinking</w:t>
      </w:r>
    </w:p>
    <w:p>
      <w:pPr>
        <w:pStyle w:val="FirstParagraph"/>
      </w:pPr>
      <w:r>
        <w:t xml:space="preserve">The national curriculum has increasingly emphasized critical thinking, problem-solving, and creativity. Observations revealed that traditional lecture-based methods remain prevalent among older secondary teachers, while younger educators demonstrate a higher propensity for project-based learning (PBL) and collaborative group work. In the multicultural context of Kazakhstan Almaty, PBL was observed to be particularly effective in bridging cultural gaps among students from different backgrounds.</w:t>
      </w:r>
    </w:p>
    <w:p>
      <w:pPr>
        <w:pStyle w:val="BodyText"/>
      </w:pPr>
      <w:r>
        <w:t xml:space="preserve">However, a notable challenge identified is the assessment framework. Teachers reported difficulty in designing assessments that accurately measure critical thinking skills under the pressure of high-stakes national examinations. This tension between formative pedagogical goals and summative assessment requirements creates stress for secondary teachers and can lead to a reversion to rote memorization techniques.</w:t>
      </w:r>
    </w:p>
    <w:p>
      <w:pPr>
        <w:pStyle w:val="BodyText"/>
      </w:pPr>
      <w:r>
        <w:t xml:space="preserve">3.3 Professional Development Needs</w:t>
      </w:r>
    </w:p>
    <w:p>
      <w:pPr>
        <w:pStyle w:val="BodyText"/>
      </w:pPr>
      <w:r>
        <w:t xml:space="preserve">The analysis highlights that professional development programs in Kazakhstan Almaty are often theoretical rather than practical. Secondary teachers requested more mentorship opportunities, peer-coaching models, and subject-specific deep dives. The report suggests that the current model of one-off seminars is insufficient for sustained professional growth. Instead, a continuous feedback loop involving regular classroom coaching and community-of-practice groups is recommended.</w:t>
      </w:r>
    </w:p>
    <w:bookmarkEnd w:id="24"/>
    <w:bookmarkEnd w:id="25"/>
    <w:bookmarkStart w:id="26" w:name="discussion"/>
    <w:p>
      <w:pPr>
        <w:pStyle w:val="Heading2"/>
      </w:pPr>
      <w:r>
        <w:t xml:space="preserve">4. Discussion</w:t>
      </w:r>
    </w:p>
    <w:p>
      <w:pPr>
        <w:pStyle w:val="FirstParagraph"/>
      </w:pPr>
      <w:r>
        <w:t xml:space="preserve">The data collected for this laboratory report underscores the complex role of the secondary teacher in Kazakhstan Almaty. These educators are not merely instructors but also cultural mediators, technological adapters, and emotional supporters for adolescents. The unique socio-economic context of Kazakhstan Almaty means that schools must address varying levels of student preparedness within the same classroom.</w:t>
      </w:r>
    </w:p>
    <w:p>
      <w:pPr>
        <w:pStyle w:val="BodyText"/>
      </w:pPr>
      <w:r>
        <w:t xml:space="preserve">The emphasis on "Secondary Teacher" competency cannot be divorced from the broader systemic factors. While individual teacher effort is vital, systemic support structures—including reduced administrative burdens, access to up-to-date resources, and meaningful professional growth pathways—are equally important. The findings indicate that when secondary teachers in Kazakhstan Almaty receive adequate support and training in modern pedagogies, student outcomes improve significantly across all subject areas.</w:t>
      </w:r>
    </w:p>
    <w:bookmarkEnd w:id="26"/>
    <w:bookmarkStart w:id="27" w:name="recommendations"/>
    <w:p>
      <w:pPr>
        <w:pStyle w:val="Heading2"/>
      </w:pPr>
      <w:r>
        <w:t xml:space="preserve">5. Recommendations</w:t>
      </w:r>
    </w:p>
    <w:p>
      <w:pPr>
        <w:pStyle w:val="FirstParagraph"/>
      </w:pPr>
      <w:r>
        <w:t xml:space="preserve">Based on the findings of this laboratory report, the following recommendations are proposed for stakeholders involved in education policy and administration in Kazakhstan Almaty:</w:t>
      </w:r>
    </w:p>
    <w:p>
      <w:pPr>
        <w:numPr>
          <w:ilvl w:val="0"/>
          <w:numId w:val="1002"/>
        </w:numPr>
        <w:pStyle w:val="Compact"/>
      </w:pPr>
      <w:r>
        <w:rPr>
          <w:bCs/>
          <w:b/>
        </w:rPr>
        <w:t xml:space="preserve">Pedagogical Training Reform:</w:t>
      </w:r>
      <w:r>
        <w:t xml:space="preserve"> </w:t>
      </w:r>
      <w:r>
        <w:t xml:space="preserve">Revise teacher training curricula to include extensive modules on digital pedagogy, differentiated instruction, and assessment for learning.</w:t>
      </w:r>
    </w:p>
    <w:p>
      <w:pPr>
        <w:numPr>
          <w:ilvl w:val="0"/>
          <w:numId w:val="1002"/>
        </w:numPr>
        <w:pStyle w:val="Compact"/>
      </w:pPr>
      <w:r>
        <w:rPr>
          <w:bCs/>
          <w:b/>
        </w:rPr>
        <w:t xml:space="preserve">Mentorship Programs:</w:t>
      </w:r>
      <w:r>
        <w:t xml:space="preserve"> </w:t>
      </w:r>
      <w:r>
        <w:t xml:space="preserve">Establish robust mentorship networks pairing experienced secondary teachers with novices in Kazakhstan Almaty to foster knowledge sharing and reduce professional isolation.</w:t>
      </w:r>
    </w:p>
    <w:p>
      <w:pPr>
        <w:numPr>
          <w:ilvl w:val="0"/>
          <w:numId w:val="1002"/>
        </w:numPr>
        <w:pStyle w:val="Compact"/>
      </w:pPr>
      <w:r>
        <w:rPr>
          <w:bCs/>
          <w:b/>
        </w:rPr>
        <w:t xml:space="preserve">Culturally Responsive Curriculum:</w:t>
      </w:r>
      <w:r>
        <w:t xml:space="preserve"> </w:t>
      </w:r>
      <w:r>
        <w:t xml:space="preserve">Further integrate local cultural heritage into the national curriculum to enhance student engagement and identity formation, particularly in the diverse urban environment of Kazakhstan Almaty.</w:t>
      </w:r>
    </w:p>
    <w:p>
      <w:pPr>
        <w:numPr>
          <w:ilvl w:val="0"/>
          <w:numId w:val="1002"/>
        </w:numPr>
        <w:pStyle w:val="Compact"/>
      </w:pPr>
      <w:r>
        <w:rPr>
          <w:bCs/>
          <w:b/>
        </w:rPr>
        <w:t xml:space="preserve">Assessment Innovation:</w:t>
      </w:r>
      <w:r>
        <w:t xml:space="preserve"> </w:t>
      </w:r>
      <w:r>
        <w:t xml:space="preserve">Develop new assessment tools that align with critical thinking goals while remaining compatible with national examination standards.</w:t>
      </w:r>
    </w:p>
    <w:bookmarkEnd w:id="27"/>
    <w:bookmarkStart w:id="28" w:name="conclusion"/>
    <w:p>
      <w:pPr>
        <w:pStyle w:val="Heading2"/>
      </w:pPr>
      <w:r>
        <w:t xml:space="preserve">6. Conclusion</w:t>
      </w:r>
    </w:p>
    <w:p>
      <w:pPr>
        <w:pStyle w:val="FirstParagraph"/>
      </w:pPr>
      <w:r>
        <w:t xml:space="preserve">This laboratory report has provided a detailed examination of the secondary teacher's role in Kazakhstan Almaty. It is evident that while significant progress has been made in infrastructure and policy formulation, the effective implementation of these reforms relies heavily on the continuous professional evolution of individual teachers. By addressing the identified gaps in pedagogical training and support systems, Kazakhstan Almaty can ensure that its secondary education system remains a beacon of excellence in Central Asia. The secondary teacher is indeed the cornerstone of this success, and investing in their growth is an investment in the future stability and prosperity of Kazakhstan.</w:t>
      </w:r>
    </w:p>
    <w:p>
      <w:pPr>
        <w:pStyle w:val="BodyText"/>
      </w:pPr>
      <w:r>
        <w:rPr>
          <w:bCs/>
          <w:b/>
        </w:rPr>
        <w:t xml:space="preserve">Signed:</w:t>
      </w:r>
    </w:p>
    <w:p>
      <w:pPr>
        <w:pStyle w:val="BodyText"/>
      </w:pPr>
      <w:r>
        <w:t xml:space="preserve">Jane Doe, Ph.D.</w:t>
      </w:r>
      <w:r>
        <w:br/>
      </w:r>
      <w:r>
        <w:t xml:space="preserve">Senior Researcher</w:t>
      </w:r>
      <w:r>
        <w:br/>
      </w:r>
      <w:r>
        <w:t xml:space="preserve">Center for Pedagogical Research and Educational Standards Evaluation</w:t>
      </w:r>
      <w:r>
        <w:br/>
      </w:r>
      <w:r>
        <w:t xml:space="preserve">Almaty, Kazakhstan</w:t>
      </w:r>
    </w:p>
    <w:p>
      <w:pPr>
        <w:pStyle w:val="BodyText"/>
      </w:pPr>
      <w:r>
        <w:t xml:space="preserve">© 2023 Educational Research Institute.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Competency Framework in Kazakhstan Almaty</dc:title>
  <dc:creator/>
  <dc:language>en</dc:language>
  <cp:keywords/>
  <dcterms:created xsi:type="dcterms:W3CDTF">2026-07-29T02:03:00Z</dcterms:created>
  <dcterms:modified xsi:type="dcterms:W3CDTF">2026-07-29T02:03:00Z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