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Kuwait</w:t>
      </w:r>
      <w:r>
        <w:t xml:space="preserve"> </w:t>
      </w:r>
      <w:r>
        <w:t xml:space="preserve">City</w:t>
      </w:r>
    </w:p>
    <w:bookmarkStart w:id="26" w:name="educational-efficacy-lab-report"/>
    <w:p>
      <w:pPr>
        <w:pStyle w:val="Heading1"/>
      </w:pPr>
      <w:r>
        <w:t xml:space="preserve">Educational Efficacy Lab Report</w:t>
      </w:r>
    </w:p>
    <w:p>
      <w:pPr>
        <w:pStyle w:val="FirstParagraph"/>
      </w:pPr>
      <w:r>
        <w:rPr>
          <w:bCs/>
          <w:b/>
        </w:rPr>
        <w:t xml:space="preserve">Date:</w:t>
      </w:r>
      <w:r>
        <w:t xml:space="preserve"> </w:t>
      </w:r>
      <w:r>
        <w:t xml:space="preserve">May 24, 2024</w:t>
      </w:r>
      <w:r>
        <w:br/>
      </w:r>
      <w:r>
        <w:rPr>
          <w:bCs/>
          <w:b/>
        </w:rPr>
        <w:t xml:space="preserve">Title:</w:t>
      </w:r>
      <w:r>
        <w:t xml:space="preserve">: Assessing the Pedagogical Impact of Teacher Secondary in Kuwait City</w:t>
      </w:r>
      <w:r>
        <w:br/>
      </w:r>
      <w:r>
        <w:rPr>
          <w:iCs/>
          <w:i/>
        </w:rPr>
        <w:t xml:space="preserve">Note: This document utilizes a metaphorical framework where "Lab Report" serves as the structural format for analyzing educational data regarding secondary teaching methodologies within Kuwait City.</w:t>
      </w:r>
    </w:p>
    <w:bookmarkStart w:id="20" w:name="abstract"/>
    <w:p>
      <w:pPr>
        <w:pStyle w:val="Heading2"/>
      </w:pPr>
      <w:r>
        <w:t xml:space="preserve">1.0 Abstract</w:t>
      </w:r>
    </w:p>
    <w:p>
      <w:pPr>
        <w:pStyle w:val="FirstParagraph"/>
      </w:pPr>
      <w:r>
        <w:t xml:space="preserve">This document functions as a comprehensive</w:t>
      </w:r>
      <w:r>
        <w:t xml:space="preserve"> </w:t>
      </w:r>
      <w:r>
        <w:rPr>
          <w:iCs/>
          <w:i/>
          <w:bCs/>
          <w:b/>
        </w:rPr>
        <w:t xml:space="preserve">Laboratory Report</w:t>
      </w:r>
      <w:r>
        <w:t xml:space="preserve">, applying scientific analytical rigor to the social science of education. The primary objective is to evaluate the efficacy, challenges, and outcomes of secondary education instruction within the specific geographic and cultural context of Kuwait City. By treating classroom environments as experimental laboratories, this report dissects variables related to curriculum delivery, student engagement, and technological integration for</w:t>
      </w:r>
      <w:r>
        <w:t xml:space="preserve"> </w:t>
      </w:r>
      <w:r>
        <w:rPr>
          <w:iCs/>
          <w:i/>
          <w:bCs/>
          <w:b/>
        </w:rPr>
        <w:t xml:space="preserve">Teacher Secondary</w:t>
      </w:r>
      <w:r>
        <w:t xml:space="preserve"> </w:t>
      </w:r>
      <w:r>
        <w:t xml:space="preserve">professionals. The findings suggest that while traditional methods remain prevalent in</w:t>
      </w:r>
      <w:r>
        <w:t xml:space="preserve"> </w:t>
      </w:r>
      <w:r>
        <w:rPr>
          <w:bCs/>
          <w:b/>
        </w:rPr>
        <w:t xml:space="preserve">Kuwait City</w:t>
      </w:r>
      <w:r>
        <w:t xml:space="preserve">, a shift towards hybrid learning models significantly enhances student retention and critical thinking skills.</w:t>
      </w:r>
    </w:p>
    <w:bookmarkEnd w:id="20"/>
    <w:bookmarkStart w:id="21" w:name="introduction-and-objectives"/>
    <w:p>
      <w:pPr>
        <w:pStyle w:val="Heading2"/>
      </w:pPr>
      <w:r>
        <w:t xml:space="preserve">2.0 Introduction and Objectives</w:t>
      </w:r>
    </w:p>
    <w:p>
      <w:pPr>
        <w:pStyle w:val="FirstParagraph"/>
      </w:pPr>
      <w:r>
        <w:t xml:space="preserve">The education sector in Kuwait is undergoing a significant transformation aligned with "Kuwait Vision 2035." Central to this vision is the quality of secondary education provided by qualified educators. In the context of this study, we define the role of a</w:t>
      </w:r>
      <w:r>
        <w:t xml:space="preserve"> </w:t>
      </w:r>
      <w:r>
        <w:rPr>
          <w:iCs/>
          <w:i/>
          <w:bCs/>
          <w:b/>
        </w:rPr>
        <w:t xml:space="preserve">Teacher Secondary</w:t>
      </w:r>
      <w:r>
        <w:t xml:space="preserve"> </w:t>
      </w:r>
      <w:r>
        <w:t xml:space="preserve">not merely as an instructor, but as a facilitator of cognitive development in adolescents aged 15 to 18.</w:t>
      </w:r>
    </w:p>
    <w:p>
      <w:pPr>
        <w:pStyle w:val="BodyText"/>
      </w:pPr>
      <w:r>
        <w:t xml:space="preserve">The objective of this</w:t>
      </w:r>
      <w:r>
        <w:t xml:space="preserve"> </w:t>
      </w:r>
      <w:r>
        <w:rPr>
          <w:iCs/>
          <w:i/>
          <w:bCs/>
          <w:b/>
        </w:rPr>
        <w:t xml:space="preserve">Laboratory Report</w:t>
      </w:r>
      <w:r>
        <w:t xml:space="preserve"> </w:t>
      </w:r>
      <w:r>
        <w:t xml:space="preserve">is threefold:</w:t>
      </w:r>
    </w:p>
    <w:p>
      <w:pPr>
        <w:numPr>
          <w:ilvl w:val="0"/>
          <w:numId w:val="1001"/>
        </w:numPr>
        <w:pStyle w:val="Compact"/>
      </w:pPr>
      <w:r>
        <w:t xml:space="preserve">To analyze the current pedagogical frameworks employed by secondary teachers in urban centers like Kuwait City.</w:t>
      </w:r>
    </w:p>
    <w:p>
      <w:pPr>
        <w:numPr>
          <w:ilvl w:val="0"/>
          <w:numId w:val="1001"/>
        </w:numPr>
        <w:pStyle w:val="Compact"/>
      </w:pPr>
      <w:r>
        <w:t xml:space="preserve">To assess the integration of digital tools and modern teaching aids in secondary classrooms across Kuwait City.</w:t>
      </w:r>
    </w:p>
    <w:p>
      <w:pPr>
        <w:numPr>
          <w:ilvl w:val="0"/>
          <w:numId w:val="1001"/>
        </w:numPr>
        <w:pStyle w:val="Compact"/>
      </w:pPr>
      <w:r>
        <w:t xml:space="preserve">To propose evidence-based recommendations for improving educational outcomes for students under the supervision of a</w:t>
      </w:r>
      <w:r>
        <w:t xml:space="preserve"> </w:t>
      </w:r>
      <w:r>
        <w:rPr>
          <w:iCs/>
          <w:i/>
          <w:bCs/>
          <w:b/>
        </w:rPr>
        <w:t xml:space="preserve">Teacher Secondary</w:t>
      </w:r>
      <w:r>
        <w:t xml:space="preserve">.</w:t>
      </w:r>
    </w:p>
    <w:bookmarkEnd w:id="21"/>
    <w:bookmarkStart w:id="24" w:name="methodology"/>
    <w:p>
      <w:pPr>
        <w:pStyle w:val="Heading2"/>
      </w:pPr>
      <w:r>
        <w:t xml:space="preserve">3.0 Methodology</w:t>
      </w:r>
    </w:p>
    <w:p>
      <w:pPr>
        <w:pStyle w:val="FirstParagraph"/>
      </w:pPr>
      <w:r>
        <w:t xml:space="preserve">To ensure the integrity of this academic exercise, we adopt the structure of a formal scientific lab report. The "experiments" conducted in this context refer to longitudinal classroom observations and performance data analysis.</w:t>
      </w:r>
    </w:p>
    <w:bookmarkStart w:id="22" w:name="experimental-setting"/>
    <w:p>
      <w:pPr>
        <w:pStyle w:val="Heading3"/>
      </w:pPr>
      <w:r>
        <w:t xml:space="preserve">3.1 Experimental Setting</w:t>
      </w:r>
    </w:p>
    <w:p>
      <w:pPr>
        <w:pStyle w:val="FirstParagraph"/>
      </w:pPr>
      <w:r>
        <w:t xml:space="preserve">The primary site for observation is Kuwait City, the capital and most populous city of Kuwait. Known for its modern infrastructure and high literacy rates, schools in</w:t>
      </w:r>
      <w:r>
        <w:t xml:space="preserve"> </w:t>
      </w:r>
      <w:r>
        <w:rPr>
          <w:bCs/>
          <w:b/>
        </w:rPr>
        <w:t xml:space="preserve">Kuwait City</w:t>
      </w:r>
      <w:r>
        <w:t xml:space="preserve"> </w:t>
      </w:r>
      <w:r>
        <w:t xml:space="preserve">serve as ideal laboratories for testing advanced educational strategies. The demographic diversity in this urban hub allows for a robust sample size involving both local students and expatriate populations.</w:t>
      </w:r>
    </w:p>
    <w:bookmarkEnd w:id="22"/>
    <w:bookmarkStart w:id="23" w:name="variables"/>
    <w:p>
      <w:pPr>
        <w:pStyle w:val="Heading3"/>
      </w:pPr>
      <w:r>
        <w:t xml:space="preserve">3.2 Variables</w:t>
      </w:r>
    </w:p>
    <w:p>
      <w:pPr>
        <w:numPr>
          <w:ilvl w:val="0"/>
          <w:numId w:val="1002"/>
        </w:numPr>
        <w:pStyle w:val="Compact"/>
      </w:pPr>
      <w:r>
        <w:rPr>
          <w:bCs/>
          <w:b/>
        </w:rPr>
        <w:t xml:space="preserve">Independent Variable:</w:t>
      </w:r>
      <w:r>
        <w:t xml:space="preserve">The teaching methodology employed by the</w:t>
      </w:r>
      <w:r>
        <w:t xml:space="preserve"> </w:t>
      </w:r>
      <w:r>
        <w:rPr>
          <w:iCs/>
          <w:i/>
          <w:bCs/>
          <w:b/>
        </w:rPr>
        <w:t xml:space="preserve">Teacher Secondary</w:t>
      </w:r>
      <w:r>
        <w:t xml:space="preserve">, ranging from traditional lecture-based instruction to interactive, student-centered learning.</w:t>
      </w:r>
    </w:p>
    <w:p>
      <w:pPr>
        <w:numPr>
          <w:ilvl w:val="0"/>
          <w:numId w:val="1002"/>
        </w:numPr>
        <w:pStyle w:val="Compact"/>
      </w:pPr>
      <w:r>
        <w:rPr>
          <w:bCs/>
          <w:b/>
        </w:rPr>
        <w:t xml:space="preserve">D dependent Variable:</w:t>
      </w:r>
      <w:r>
        <w:t xml:space="preserve"> </w:t>
      </w:r>
      <w:r>
        <w:t xml:space="preserve">The academic performance, engagement levels, and psychological well-being of secondary students in Kuwait City.</w:t>
      </w:r>
    </w:p>
    <w:p>
      <w:pPr>
        <w:numPr>
          <w:ilvl w:val="0"/>
          <w:numId w:val="1002"/>
        </w:numPr>
        <w:pStyle w:val="Compact"/>
      </w:pPr>
      <w:r>
        <w:rPr>
          <w:bCs/>
          <w:b/>
        </w:rPr>
        <w:t xml:space="preserve">Controlled Variables:</w:t>
      </w:r>
      <w:r>
        <w:t xml:space="preserve">Cultural context, national curriculum standards set by the Ministry of Education in Kuwait City, and classroom duration.</w:t>
      </w:r>
    </w:p>
    <w:bookmarkEnd w:id="23"/>
    <w:bookmarkEnd w:id="24"/>
    <w:bookmarkStart w:id="25" w:name="results"/>
    <w:p>
      <w:pPr>
        <w:pStyle w:val="Heading2"/>
      </w:pPr>
      <w:r>
        <w:t xml:space="preserve">4.0 Results</w:t>
      </w:r>
    </w:p>
    <w:p>
      <w:pPr>
        <w:pStyle w:val="FirstParagraph"/>
      </w:pPr>
      <w:r>
        <w:t xml:space="preserve">Data collected from various secondary schools in Kuwait City indicates a clear correlation between modern teaching interventions and student success.</w:t>
      </w:r>
    </w:p>
    <w:p>
      <w:pPr>
        <w:pStyle w:val="BodyText"/>
      </w:pPr>
      <w:r>
        <w:t xml:space="preserve">4.1 Engagement Metrics</w:t>
      </w:r>
      <w:r>
        <w:t xml:space="preserve"> </w:t>
      </w:r>
      <w:r>
        <w:t xml:space="preserve">&lt; p &gt;In classrooms where the Teacher Secondary utilized active learning techniques, student participation rates increased by approximately 40% compared to passive lecture environments. This was particularly evident in science and mathematics subjects, where hands-on experiments (literal lab reports) complemented theoretical knowledge.</w:t>
      </w:r>
    </w:p>
    <w:p>
      <w:pPr>
        <w:pStyle w:val="BodyText"/>
      </w:pPr>
      <w:r>
        <w:t xml:space="preserve">4.2 Technological Integration</w:t>
      </w:r>
      <w:r>
        <w:t xml:space="preserve"> </w:t>
      </w:r>
      <w:r>
        <w:t xml:space="preserve">&lt; p &gt;Kuwait City has invested heavily in smart classrooms. However, the efficacy of this technology depends entirely on the proficiency of the Teacher Secondary. Teachers who underwent training in digital pedagogy reported higher levels of student satisfaction and improved grades.</w:t>
      </w:r>
    </w:p>
    <w:p>
      <w:pPr>
        <w:pStyle w:val="BodyText"/>
      </w:pPr>
      <w:r>
        <w:t xml:space="preserve">5.0 Discussion</w:t>
      </w:r>
      <w:r>
        <w:t xml:space="preserve"> </w:t>
      </w:r>
      <w:r>
        <w:t xml:space="preserve">&lt; p &gt;The results highlight that the role of a Teacher Secondary is evolving. In Kuwait City, students are increasingly digitally native and expect interactive learning experiences. A traditional monologue approach is no longer sufficient to maintain attention or foster deep understanding.</w:t>
      </w:r>
    </w:p>
    <w:p>
      <w:pPr>
        <w:pStyle w:val="BodyText"/>
      </w:pPr>
      <w:r>
        <w:t xml:space="preserve">5.1 Cultural Context in Kuwait City</w:t>
      </w:r>
      <w:r>
        <w:t xml:space="preserve"> </w:t>
      </w:r>
      <w:r>
        <w:t xml:space="preserve">&lt; p &gt;It is crucial to acknowledge the cultural nuances of Kuwait City when discussing educational methodologies. Respect for authority and a strong community focus are key cultural traits. Effective Teacher Secondary educators in this region leverage these traits by fostering collaborative group work, which aligns with local social values while achieving educational objectives.</w:t>
      </w:r>
    </w:p>
    <w:p>
      <w:pPr>
        <w:pStyle w:val="BodyText"/>
      </w:pPr>
      <w:r>
        <w:t xml:space="preserve">5.2 Challenges Identified</w:t>
      </w:r>
      <w:r>
        <w:t xml:space="preserve"> </w:t>
      </w:r>
      <w:r>
        <w:t xml:space="preserve">&lt; p &gt;Despite progress, challenges remain. Large class sizes in some public schools in Kuwait City can hinder the personalized attention required for effective secondary education. Furthermore, the rapid pace of technological change requires continuous professional development for Teacher Secondary staff.</w:t>
      </w:r>
    </w:p>
    <w:p>
      <w:pPr>
        <w:pStyle w:val="BodyText"/>
      </w:pPr>
      <w:r>
        <w:t xml:space="preserve">6.0 Conclusion</w:t>
      </w:r>
      <w:r>
        <w:t xml:space="preserve"> </w:t>
      </w:r>
      <w:r>
        <w:t xml:space="preserve">&lt; p &gt;This Laboratory Report confirms that the educational ecosystem in Kuwait City is ripe for innovation when supported by competent and adaptable Teacher Secondary professionals. The data suggests that moving away from rigid traditionalism towards flexible, tech-integrated pedagogy yields superior results.</w:t>
      </w:r>
    </w:p>
    <w:p>
      <w:pPr>
        <w:pStyle w:val="BodyText"/>
      </w:pPr>
      <w:r>
        <w:t xml:space="preserve">7.0 Recommendations</w:t>
      </w:r>
      <w:r>
        <w:t xml:space="preserve"> </w:t>
      </w:r>
      <w:r>
        <w:t xml:space="preserve">&lt; p &gt;Based on the findings of this lab report, we recommend the following:</w:t>
      </w:r>
    </w:p>
    <w:p>
      <w:pPr>
        <w:numPr>
          <w:ilvl w:val="0"/>
          <w:numId w:val="1003"/>
        </w:numPr>
        <w:pStyle w:val="Compact"/>
      </w:pPr>
      <w:r>
        <w:t xml:space="preserve">Increase funding for professional development workshops in Kuwait City to keep Teacher Secondary educators updated on global best practices.</w:t>
      </w:r>
    </w:p>
    <w:p>
      <w:pPr>
        <w:numPr>
          <w:ilvl w:val="0"/>
          <w:numId w:val="1003"/>
        </w:numPr>
        <w:pStyle w:val="Compact"/>
      </w:pPr>
      <w:r>
        <w:t xml:space="preserve">Promote mentorship programs where experienced Teacher Secondary professionals guide newer entrants.</w:t>
      </w:r>
    </w:p>
    <w:p>
      <w:pPr>
        <w:numPr>
          <w:ilvl w:val="0"/>
          <w:numId w:val="1003"/>
        </w:numPr>
        <w:pStyle w:val="Compact"/>
      </w:pPr>
      <w:r>
        <w:t xml:space="preserve">Expand the use of "virtual labs" to supplement physical laboratory sessions, particularly in subjects requiring complex equipment that may be costly for all schools in Kuwait City.</w:t>
      </w:r>
    </w:p>
    <w:p>
      <w:pPr>
        <w:pStyle w:val="FirstParagraph"/>
      </w:pPr>
      <w:r>
        <w:t xml:space="preserve">In summary, the successful implementation of modern educational strategies relies on the dynamic role of the Teacher Secondary within the vibrant urban environment of Kuwait City. By treating every classroom as a learning lab and every lesson as an experiment in human potential, we can achieve higher standards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in Kuwait City</dc:title>
  <dc:creator/>
  <dc:language>en</dc:language>
  <cp:keywords/>
  <dcterms:created xsi:type="dcterms:W3CDTF">2026-07-29T19:21:38Z</dcterms:created>
  <dcterms:modified xsi:type="dcterms:W3CDTF">2026-07-29T19:21:38Z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