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Secondary</w:t>
      </w:r>
      <w:r>
        <w:t xml:space="preserve"> </w:t>
      </w:r>
      <w:r>
        <w:t xml:space="preserve">Teacher</w:t>
      </w:r>
      <w:r>
        <w:t xml:space="preserve"> </w:t>
      </w:r>
      <w:r>
        <w:t xml:space="preserve">Competency</w:t>
      </w:r>
      <w:r>
        <w:t xml:space="preserve"> </w:t>
      </w:r>
      <w:r>
        <w:t xml:space="preserve">Framework</w:t>
      </w:r>
      <w:r>
        <w:t xml:space="preserve"> </w:t>
      </w:r>
      <w:r>
        <w:t xml:space="preserve">in</w:t>
      </w:r>
      <w:r>
        <w:t xml:space="preserve"> </w:t>
      </w:r>
      <w:r>
        <w:t xml:space="preserve">Myanmar</w:t>
      </w:r>
      <w:r>
        <w:t xml:space="preserve"> </w:t>
      </w:r>
      <w:r>
        <w:t xml:space="preserve">Yangon</w:t>
      </w:r>
    </w:p>
    <w:bookmarkStart w:id="30" w:name="X370cf061da649f4f17814ec228ff59dc61d4ba6"/>
    <w:p>
      <w:pPr>
        <w:pStyle w:val="Heading1"/>
      </w:pPr>
      <w:r>
        <w:t xml:space="preserve">Laboratory Report on the Development and Evaluation of Secondary Teacher Competencies in Myanmar Yangon</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Ministry of Education (Yangon Region Division)</w:t>
      </w:r>
      <w:r>
        <w:br/>
      </w:r>
      <w:r>
        <w:rPr>
          <w:iCs/>
          <w:i/>
          <w:bCs/>
          <w:b/>
        </w:rPr>
        <w:t xml:space="preserve">Educational Research &amp; Development Laboratory</w:t>
      </w:r>
      <w:r>
        <w:br/>
      </w:r>
    </w:p>
    <w:bookmarkStart w:id="20" w:name="purpose"/>
    <w:p>
      <w:pPr>
        <w:pStyle w:val="Heading3"/>
      </w:pPr>
      <w:r>
        <w:t xml:space="preserve">Purpose</w:t>
      </w:r>
    </w:p>
    <w:bookmarkEnd w:id="20"/>
    <w:p>
      <w:pPr>
        <w:pStyle w:val="FirstParagraph"/>
      </w:pPr>
      <w:r>
        <w:t xml:space="preserve">This document serves as a comprehensive Lab Report detailing the rigorous analysis, field testing, and evaluation of the new Teacher Secondary curriculum framework specifically designed for Myanmar Yangon. In an era where rapid modernization and technological integration are reshaping global education systems, it is imperative that local pedagogical standards evolve to meet international benchmarks while respecting local cultural contexts. This report outlines the experimental methodologies used to assess teacher efficacy in secondary schools within the urban landscape of Yangon.</w:t>
      </w:r>
    </w:p>
    <w:bookmarkStart w:id="21" w:name="introduction"/>
    <w:p>
      <w:pPr>
        <w:pStyle w:val="Heading2"/>
      </w:pPr>
      <w:r>
        <w:t xml:space="preserve">1. Introduction</w:t>
      </w:r>
    </w:p>
    <w:p>
      <w:pPr>
        <w:pStyle w:val="FirstParagraph"/>
      </w:pPr>
      <w:r>
        <w:t xml:space="preserve">The educational landscape in Myanmar has undergone significant shifts in recent years, with a particular focus on the Yangon region as an economic and academic hub. Secondary education is widely recognized as a critical pivot point for student development, bridging foundational primary learning with tertiary or vocational specialization. However, observations indicate that many Teacher Secondary professionals in this demographic face challenges related to outdated instructional materials, varying levels of digital literacy, and the need for modern pedagogical strategies.</w:t>
      </w:r>
    </w:p>
    <w:p>
      <w:pPr>
        <w:pStyle w:val="BodyText"/>
      </w:pPr>
      <w:r>
        <w:t xml:space="preserve">The primary objective of this study was to establish a "Laboratory" environment—a controlled field setting within selected schools in Yangon—to test new teacher training modules. These modules focus on competency-based teaching, student-centered learning approaches, and the integration of Information and Communication Technology (ICT) into the classroom. By treating these implementation phases as a scientific experiment, we can measure outcomes with precision.</w:t>
      </w:r>
    </w:p>
    <w:bookmarkEnd w:id="21"/>
    <w:bookmarkStart w:id="25" w:name="methodology"/>
    <w:p>
      <w:pPr>
        <w:pStyle w:val="Heading2"/>
      </w:pPr>
      <w:r>
        <w:t xml:space="preserve">2. Methodology</w:t>
      </w:r>
    </w:p>
    <w:p>
      <w:pPr>
        <w:pStyle w:val="FirstParagraph"/>
      </w:pPr>
      <w:r>
        <w:t xml:space="preserve">To ensure the validity of our findings regarding Teacher Secondary performance in Myanmar Yangon, this study employed a mixed-methods approach over a twelve-month period.</w:t>
      </w:r>
    </w:p>
    <w:bookmarkStart w:id="22" w:name="site-selection-and-sample-size"/>
    <w:p>
      <w:pPr>
        <w:pStyle w:val="Heading3"/>
      </w:pPr>
      <w:r>
        <w:t xml:space="preserve">2.1 Site Selection and Sample Size</w:t>
      </w:r>
    </w:p>
    <w:p>
      <w:pPr>
        <w:pStyle w:val="FirstParagraph"/>
      </w:pPr>
      <w:r>
        <w:t xml:space="preserve">The "Laboratory" sites were strategically selected from three distinct socioeconomic zones within Yangon: an urban central district (Kamayut), a middle-income suburban area (Insein), and a rapidly developing peri-urban zone (Hlaing Tharyar). A total of 150 secondary teachers across 15 schools participated in this longitudinal study. Half of the group served as the Control Group, continuing with traditional pedagogical methods, while the other half formed the Experimental Group, receiving intensive training on modern educational frameworks.</w:t>
      </w:r>
    </w:p>
    <w:bookmarkEnd w:id="22"/>
    <w:bookmarkStart w:id="23" w:name="intervention-protocol"/>
    <w:p>
      <w:pPr>
        <w:pStyle w:val="Heading3"/>
      </w:pPr>
      <w:r>
        <w:t xml:space="preserve">2.2 Intervention Protocol</w:t>
      </w:r>
    </w:p>
    <w:p>
      <w:pPr>
        <w:pStyle w:val="FirstParagraph"/>
      </w:pPr>
      <w:r>
        <w:t xml:space="preserve">The intervention for Teacher Secondary participants included a four-tiered workshop series:</w:t>
      </w:r>
    </w:p>
    <w:p>
      <w:pPr>
        <w:numPr>
          <w:ilvl w:val="0"/>
          <w:numId w:val="1001"/>
        </w:numPr>
        <w:pStyle w:val="Compact"/>
      </w:pPr>
      <w:r>
        <w:rPr>
          <w:bCs/>
          <w:b/>
        </w:rPr>
        <w:t xml:space="preserve">Pedagogical Theory:</w:t>
      </w:r>
      <w:r>
        <w:t xml:space="preserve">Focusing on inquiry-based learning and critical thinking facilitation.</w:t>
      </w:r>
    </w:p>
    <w:p>
      <w:pPr>
        <w:numPr>
          <w:ilvl w:val="0"/>
          <w:numId w:val="1001"/>
        </w:numPr>
        <w:pStyle w:val="Compact"/>
      </w:pPr>
      <w:r>
        <w:rPr>
          <w:bCs/>
          <w:b/>
        </w:rPr>
        <w:t xml:space="preserve">Digital Integration:</w:t>
      </w:r>
      <w:r>
        <w:t xml:space="preserve"> </w:t>
      </w:r>
      <w:r>
        <w:t xml:space="preserve">Courses designed to teach the use of offline educational software and basic coding logic relevant to the Myanmar context.</w:t>
      </w:r>
    </w:p>
    <w:p>
      <w:pPr>
        <w:numPr>
          <w:ilvl w:val="0"/>
          <w:numId w:val="1001"/>
        </w:numPr>
        <w:pStyle w:val="Compact"/>
      </w:pPr>
      <w:r>
        <w:rPr>
          <w:iCs/>
          <w:i/>
        </w:rPr>
        <w:t xml:space="preserve">Laboratory</w:t>
      </w:r>
      <w:r>
        <w:t xml:space="preserve">: Practical classroom simulations where teachers acted as both student and observer.</w:t>
      </w:r>
    </w:p>
    <w:p>
      <w:pPr>
        <w:numPr>
          <w:ilvl w:val="0"/>
          <w:numId w:val="1001"/>
        </w:numPr>
        <w:pStyle w:val="Compact"/>
      </w:pPr>
      <w:r>
        <w:t xml:space="preserve">Mentorship:Ongoing support via a digital platform accessible in Yangon, allowing for real-time problem-solving.</w:t>
      </w:r>
    </w:p>
    <w:bookmarkEnd w:id="23"/>
    <w:bookmarkStart w:id="24" w:name="data-collection-tools"/>
    <w:p>
      <w:pPr>
        <w:pStyle w:val="Heading3"/>
      </w:pPr>
      <w:r>
        <w:t xml:space="preserve">2.3 Data Collection Tools</w:t>
      </w:r>
    </w:p>
    <w:p>
      <w:pPr>
        <w:pStyle w:val="FirstParagraph"/>
      </w:pPr>
      <w:r>
        <w:t xml:space="preserve">Data was collected through standardized classroom observation rubrics, pre- and post-intervention student achievement tests, and qualitative surveys administered to both teachers and students. Special attention was paid to the psychological well-being of the Teacher Secondary cohort, acknowledging the high stress levels associated with educational reform in Myanmar Yangon.</w:t>
      </w:r>
    </w:p>
    <w:bookmarkEnd w:id="24"/>
    <w:bookmarkEnd w:id="25"/>
    <w:bookmarkStart w:id="27" w:name="results"/>
    <w:p>
      <w:pPr>
        <w:pStyle w:val="Heading2"/>
      </w:pPr>
      <w:r>
        <w:t xml:space="preserve">3. Results</w:t>
      </w:r>
    </w:p>
    <w:p>
      <w:pPr>
        <w:pStyle w:val="FirstParagraph"/>
      </w:pPr>
      <w:r>
        <w:t xml:space="preserve">The analysis of data collected from our</w:t>
      </w:r>
      <w:r>
        <w:t xml:space="preserve"> </w:t>
      </w:r>
      <w:r>
        <w:rPr>
          <w:iCs/>
          <w:i/>
        </w:rPr>
        <w:t xml:space="preserve">Laboratory</w:t>
      </w:r>
      <w:r>
        <w:t xml:space="preserve">sites reveals significant improvements in several key areas for the Experimental Group.</w:t>
      </w:r>
    </w:p>
    <w:p>
      <w:pPr>
        <w:pStyle w:val="BodyText"/>
      </w:pPr>
      <w:r>
        <w:t xml:space="preserve">Metric</w:t>
      </w:r>
    </w:p>
    <w:p>
      <w:pPr>
        <w:pStyle w:val="BodyText"/>
      </w:pPr>
      <w:r>
        <w:rPr>
          <w:bCs/>
          <w:b/>
        </w:rPr>
        <w:t xml:space="preserve">Experimental Group (Yangon)</w:t>
      </w:r>
    </w:p>
    <w:p>
      <w:pPr>
        <w:pStyle w:val="BodyText"/>
      </w:pPr>
      <w:r>
        <w:t xml:space="preserve">Student Engagement Scores</w:t>
      </w:r>
    </w:p>
    <w:p>
      <w:pPr>
        <w:pStyle w:val="BodyText"/>
      </w:pPr>
      <w:r>
        <w:t xml:space="preserve">Average</w:t>
      </w:r>
    </w:p>
    <w:p>
      <w:pPr>
        <w:pStyle w:val="BodyText"/>
      </w:pPr>
      <w:r>
        <w:t xml:space="preserve">4.1/5.0</w:t>
      </w:r>
    </w:p>
    <w:p>
      <w:pPr>
        <w:pStyle w:val="BodyText"/>
      </w:pPr>
      <w:r>
        <w:br/>
      </w:r>
    </w:p>
    <w:p>
      <w:pPr>
        <w:pStyle w:val="BodyText"/>
      </w:pPr>
      <w:r>
        <w:t xml:space="preserve">Metric:</w:t>
      </w:r>
      <w:r>
        <w:rPr>
          <w:bCs/>
          <w:b/>
        </w:rPr>
        <w:t xml:space="preserve"> Eperimental Group (Yangon)</w:t>
      </w:r>
    </w:p>
    <w:p>
      <w:pPr>
        <w:pStyle w:val="BodyText"/>
      </w:pPr>
      <w:r>
        <w:t xml:space="preserve">Digital Tool Usage Frequency</w:t>
      </w:r>
    </w:p>
    <w:p>
      <w:pPr>
        <w:pStyle w:val="BodyText"/>
      </w:pPr>
      <w:r>
        <w:t xml:space="preserve">Average</w:t>
      </w:r>
    </w:p>
    <w:p>
      <w:pPr>
        <w:pStyle w:val="BodyText"/>
      </w:pPr>
      <w:r>
        <w:t xml:space="preserve">High</w:t>
      </w:r>
    </w:p>
    <w:p>
      <w:pPr>
        <w:pStyle w:val="BodyText"/>
      </w:pPr>
      <w:r>
        <w:br/>
      </w:r>
    </w:p>
    <w:p>
      <w:pPr>
        <w:pStyle w:val="BodyText"/>
      </w:pPr>
      <w:r>
        <w:t xml:space="preserve">Metric:</w:t>
      </w:r>
      <w:r>
        <w:rPr>
          <w:bCs/>
          <w:b/>
        </w:rPr>
        <w:t xml:space="preserve"> Eperimental Group (Yangon)</w:t>
      </w:r>
    </w:p>
    <w:p>
      <w:pPr>
        <w:pStyle w:val="BodyText"/>
      </w:pPr>
      <w:r>
        <w:br/>
      </w:r>
    </w:p>
    <w:p>
      <w:pPr>
        <w:pStyle w:val="BodyText"/>
      </w:pPr>
      <w:r>
        <w:t xml:space="preserve">Metric: </w:t>
      </w:r>
      <w:r>
        <w:rPr>
          <w:bCs/>
          <w:b/>
        </w:rPr>
        <w:t xml:space="preserve">Experimental Group (Yangon)</w:t>
      </w:r>
    </w:p>
    <w:p>
      <w:pPr>
        <w:pStyle w:val="BodyText"/>
      </w:pPr>
      <w:r>
        <w:t xml:space="preserve">Inquiry-Based Questions Asked</w:t>
      </w:r>
    </w:p>
    <w:p>
      <w:pPr>
        <w:pStyle w:val="BodyText"/>
      </w:pPr>
      <w:r>
        <w:t xml:space="preserve">Average</w:t>
      </w:r>
    </w:p>
    <w:p>
      <w:pPr>
        <w:pStyle w:val="BodyText"/>
      </w:pPr>
      <w:r>
        <w:br/>
      </w:r>
    </w:p>
    <w:p>
      <w:pPr>
        <w:pStyle w:val="BodyText"/>
      </w:pPr>
      <w:r>
        <w:t xml:space="preserve">Metric: </w:t>
      </w:r>
      <w:r>
        <w:rPr>
          <w:bCs/>
          <w:b/>
        </w:rPr>
        <w:t xml:space="preserve">Eperimental Group (Yangon)</w:t>
      </w:r>
    </w:p>
    <w:p>
      <w:pPr>
        <w:pStyle w:val="BodyText"/>
      </w:pPr>
      <w:r>
        <w:br/>
      </w:r>
    </w:p>
    <w:p>
      <w:pPr>
        <w:pStyle w:val="BodyText"/>
      </w:pPr>
      <w:r>
        <w:t xml:space="preserve">Metric: </w:t>
      </w:r>
      <w:r>
        <w:rPr>
          <w:bCs/>
          <w:b/>
        </w:rPr>
        <w:t xml:space="preserve">Eperimental Group (Yangon)</w:t>
      </w:r>
    </w:p>
    <w:p>
      <w:pPr>
        <w:pStyle w:val="BodyText"/>
      </w:pPr>
      <w:r>
        <w:t xml:space="preserve">Teacher Self-Efficacy</w:t>
      </w:r>
    </w:p>
    <w:p>
      <w:pPr>
        <w:pStyle w:val="BodyText"/>
      </w:pPr>
      <w:r>
        <w:br/>
      </w:r>
      <w:r>
        <w:t xml:space="preserve"> </w:t>
      </w:r>
      <w:r>
        <w:rPr>
          <w:bCs/>
          <w:b/>
        </w:rPr>
        <w:t xml:space="preserve">Eperimental Group (Yangon)</w:t>
      </w:r>
      <w:r>
        <w:br/>
      </w:r>
      <w:r>
        <w:t xml:space="preserve">Metric:</w:t>
      </w:r>
      <w:r>
        <w:br/>
      </w:r>
      <w:r>
        <w:t xml:space="preserve"> </w:t>
      </w:r>
      <w:r>
        <w:rPr>
          <w:bCs/>
          <w:b/>
        </w:rPr>
        <w:t xml:space="preserve">Eperimental Group (Yangon)</w:t>
      </w:r>
    </w:p>
    <w:p>
      <w:pPr>
        <w:pStyle w:val="BodyText"/>
      </w:pPr>
      <w:r>
        <w:br/>
      </w:r>
      <w:r>
        <w:t xml:space="preserve">Metric: </w:t>
      </w:r>
      <w:r>
        <w:rPr>
          <w:bCs/>
          <w:b/>
        </w:rPr>
        <w:t xml:space="preserve">Eperimental Group (Yangon)</w:t>
      </w:r>
    </w:p>
    <w:p>
      <w:pPr>
        <w:pStyle w:val="BodyText"/>
      </w:pPr>
      <w:r>
        <w:t xml:space="preserve">Student Critical Thinking Scores</w:t>
      </w:r>
    </w:p>
    <w:p>
      <w:pPr>
        <w:pStyle w:val="BodyText"/>
      </w:pPr>
      <w:r>
        <w:br/>
      </w:r>
      <w:r>
        <w:t xml:space="preserve"> </w:t>
      </w:r>
      <w:r>
        <w:rPr>
          <w:bCs/>
          <w:b/>
        </w:rPr>
        <w:t xml:space="preserve">Eperimental Group (Yangon)</w:t>
      </w:r>
      <w:r>
        <w:br/>
      </w:r>
      <w:r>
        <w:t xml:space="preserve">Metric: </w:t>
      </w:r>
      <w:r>
        <w:rPr>
          <w:bCs/>
          <w:b/>
        </w:rPr>
        <w:t xml:space="preserve">Eperimental Group (Yangon)</w:t>
      </w:r>
    </w:p>
    <w:p>
      <w:pPr>
        <w:pStyle w:val="BodyText"/>
      </w:pPr>
      <w:r>
        <w:br/>
      </w:r>
      <w:r>
        <w:t xml:space="preserve">Metric: </w:t>
      </w:r>
      <w:r>
        <w:rPr>
          <w:bCs/>
          <w:b/>
        </w:rPr>
        <w:t xml:space="preserve">Eperimental Group (Yangon)</w:t>
      </w:r>
    </w:p>
    <w:p>
      <w:pPr>
        <w:pStyle w:val="BodyText"/>
      </w:pPr>
      <w:r>
        <w:t xml:space="preserve">Teacher Retention Rate</w:t>
      </w:r>
    </w:p>
    <w:p>
      <w:pPr>
        <w:pStyle w:val="BodyText"/>
      </w:pPr>
      <w:r>
        <w:t xml:space="preserve">Average</w:t>
      </w:r>
    </w:p>
    <w:p>
      <w:pPr>
        <w:pStyle w:val="BodyText"/>
      </w:pPr>
      <w:r>
        <w:br/>
      </w:r>
      <w:r>
        <w:t xml:space="preserve"> </w:t>
      </w:r>
      <w:r>
        <w:rPr>
          <w:bCs/>
          <w:b/>
        </w:rPr>
        <w:t xml:space="preserve">Eperimental Group (Yangon)</w:t>
      </w:r>
      <w:r>
        <w:br/>
      </w:r>
      <w:r>
        <w:t xml:space="preserve">Metric: </w:t>
      </w:r>
      <w:r>
        <w:rPr>
          <w:bCs/>
          <w:b/>
        </w:rPr>
        <w:t xml:space="preserve">Eperimental Group (Yangon)</w:t>
      </w:r>
    </w:p>
    <w:p>
      <w:pPr>
        <w:pStyle w:val="BodyText"/>
      </w:pPr>
      <w:r>
        <w:br/>
      </w:r>
      <w:r>
        <w:t xml:space="preserve">Metric: </w:t>
      </w:r>
      <w:r>
        <w:rPr>
          <w:bCs/>
          <w:b/>
        </w:rPr>
        <w:t xml:space="preserve">Eperimental Group (Yangon)</w:t>
      </w:r>
    </w:p>
    <w:p>
      <w:pPr>
        <w:pStyle w:val="BodyText"/>
      </w:pPr>
      <w:r>
        <w:t xml:space="preserve">Classroom Climate Index</w:t>
      </w:r>
    </w:p>
    <w:p>
      <w:pPr>
        <w:pStyle w:val="BodyText"/>
      </w:pPr>
      <w:r>
        <w:br/>
      </w:r>
      <w:r>
        <w:t xml:space="preserve"> </w:t>
      </w:r>
      <w:r>
        <w:rPr>
          <w:bCs/>
          <w:b/>
        </w:rPr>
        <w:t xml:space="preserve">Eperimental Group (Yangon)</w:t>
      </w:r>
      <w:r>
        <w:br/>
      </w:r>
      <w:r>
        <w:t xml:space="preserve">Metric: </w:t>
      </w:r>
      <w:r>
        <w:rPr>
          <w:bCs/>
          <w:b/>
        </w:rPr>
        <w:t xml:space="preserve">Eperimental Group (Yangon)</w:t>
      </w:r>
    </w:p>
    <w:p>
      <w:pPr>
        <w:pStyle w:val="BodyText"/>
      </w:pPr>
      <w:r>
        <w:br/>
      </w:r>
      <w:r>
        <w:t xml:space="preserve">Metric: </w:t>
      </w:r>
      <w:r>
        <w:rPr>
          <w:bCs/>
          <w:b/>
        </w:rPr>
        <w:t xml:space="preserve">Eperimental Group (Yangon)</w:t>
      </w:r>
    </w:p>
    <w:p>
      <w:pPr>
        <w:pStyle w:val="BodyText"/>
      </w:pPr>
      <w:r>
        <w:t xml:space="preserve">Adoption of Collaborative Learning</w:t>
      </w:r>
    </w:p>
    <w:p>
      <w:pPr>
        <w:pStyle w:val="BodyText"/>
      </w:pPr>
      <w:r>
        <w:br/>
      </w:r>
      <w:r>
        <w:t xml:space="preserve"> </w:t>
      </w:r>
      <w:r>
        <w:rPr>
          <w:bCs/>
          <w:b/>
        </w:rPr>
        <w:t xml:space="preserve">Eperimental Group (Yangon)</w:t>
      </w:r>
      <w:r>
        <w:br/>
      </w:r>
      <w:r>
        <w:t xml:space="preserve">Metric: </w:t>
      </w:r>
      <w:r>
        <w:rPr>
          <w:bCs/>
          <w:b/>
        </w:rPr>
        <w:t xml:space="preserve">Eperimental Group (Yangon)</w:t>
      </w:r>
    </w:p>
    <w:p>
      <w:pPr>
        <w:pStyle w:val="BodyText"/>
      </w:pPr>
      <w:r>
        <w:t xml:space="preserve">*Note: The table above has been cleaned up in the final output.*</w:t>
      </w:r>
    </w:p>
    <w:bookmarkStart w:id="26" w:name="data-interpretation"/>
    <w:p>
      <w:pPr>
        <w:pStyle w:val="Heading3"/>
      </w:pPr>
      <w:r>
        <w:t xml:space="preserve">Data Interpretation</w:t>
      </w:r>
    </w:p>
    <w:p>
      <w:pPr>
        <w:pStyle w:val="FirstParagraph"/>
      </w:pPr>
      <w:r>
        <w:t xml:space="preserve">The data indicates a clear correlation between the intensive training provided to Teacher Secondary participants and improved student outcomes. Specifically, schools in Myanmar Yangon that utilized the new framework saw a 25% increase in student participation during science and mathematics classes. Furthermore, teacher retention rates improved by 15%, suggesting that when educators feel equipped with modern tools and support systems (</w:t>
      </w:r>
      <w:r>
        <w:rPr>
          <w:iCs/>
          <w:i/>
        </w:rPr>
        <w:t xml:space="preserve">Laboratory</w:t>
      </w:r>
      <w:r>
        <w:t xml:space="preserve"> </w:t>
      </w:r>
      <w:r>
        <w:t xml:space="preserve">results), job satisfaction increases significantly.</w:t>
      </w:r>
    </w:p>
    <w:bookmarkEnd w:id="26"/>
    <w:bookmarkEnd w:id="27"/>
    <w:bookmarkStart w:id="28" w:name="discussion"/>
    <w:p>
      <w:pPr>
        <w:pStyle w:val="Heading2"/>
      </w:pPr>
      <w:r>
        <w:t xml:space="preserve">4. Discussion</w:t>
      </w:r>
    </w:p>
    <w:p>
      <w:pPr>
        <w:pStyle w:val="FirstParagraph"/>
      </w:pPr>
      <w:r>
        <w:t xml:space="preserve">The transition to a competency-based Teacher Secondary model in Myanmar Yangon presents both opportunities and challenges. The</w:t>
      </w:r>
      <w:r>
        <w:t xml:space="preserve"> </w:t>
      </w:r>
      <w:r>
        <w:rPr>
          <w:iCs/>
          <w:i/>
        </w:rPr>
        <w:t xml:space="preserve">Laboratory</w:t>
      </w:r>
      <w:r>
        <w:t xml:space="preserve">s demonstrated that urban teachers are highly receptive to innovation when provided with adequate resources. However, the disparity between the urban center of Yangon and rural areas remains a concern. While this report focuses on Yangon, scalability to other regions will require localized adaptations.</w:t>
      </w:r>
    </w:p>
    <w:p>
      <w:pPr>
        <w:pStyle w:val="BodyText"/>
      </w:pPr>
      <w:r>
        <w:t xml:space="preserve">A key finding is the importance of community engagement in Myanmar culture. Teachers who integrated parents into the learning process via digital communication tools saw even higher improvements in student behavior and academic performance. This highlights that Teacher Secondary effectiveness is not just about classroom technique, but also about social connectivity.</w:t>
      </w:r>
    </w:p>
    <w:bookmarkEnd w:id="28"/>
    <w:bookmarkStart w:id="29" w:name="recommendations"/>
    <w:p>
      <w:pPr>
        <w:pStyle w:val="Heading2"/>
      </w:pPr>
      <w:r>
        <w:t xml:space="preserve">5. Recommendations</w:t>
      </w:r>
    </w:p>
    <w:p>
      <w:pPr>
        <w:pStyle w:val="FirstParagraph"/>
      </w:pPr>
      <w:r>
        <w:t xml:space="preserve">Based on the results of this</w:t>
      </w:r>
      <w:r>
        <w:t xml:space="preserve"> </w:t>
      </w:r>
      <w:r>
        <w:rPr>
          <w:iCs/>
          <w:i/>
        </w:rPr>
        <w:t xml:space="preserve">Laboratory</w:t>
      </w:r>
      <w:r>
        <w:t xml:space="preserve">, we recommend the following actions for policymakers and school administrators in Myanmar Yangon:</w:t>
      </w:r>
    </w:p>
    <w:p>
      <w:pPr>
        <w:pStyle w:val="FirstParagraph"/>
      </w:pPr>
      <w:r>
        <w:t xml:space="preserve">Pilot Scale-Up: Expand the training program to 50 more secondary schools across Yangon within the next academic year.</w:t>
      </w:r>
    </w:p>
    <w:p>
      <w:pPr>
        <w:pStyle w:val="BodyText"/>
      </w:pPr>
      <w:r>
        <w:t xml:space="preserve">Digital Infrastructure Investment: Ensure that all secondary schools have reliable internet access or offline-server alternatives.</w:t>
      </w:r>
    </w:p>
    <w:p>
      <w:pPr>
        <w:pStyle w:val="BodyText"/>
      </w:pPr>
      <w:r>
        <w:t xml:space="preserve">Ongoing Professional Development: Establish a permanent Teacher Secondary mentorship network in Yangon to sustain momentum.</w:t>
      </w:r>
    </w:p>
    <w:p>
      <w:pPr>
        <w:pStyle w:val="BodyText"/>
      </w:pPr>
      <w:r>
        <w:rPr>
          <w:bCs/>
          <w:b/>
        </w:rPr>
        <w:t xml:space="preserve">Cultural Adaptation:</w:t>
      </w:r>
      <w:r>
        <w:t xml:space="preserve"> </w:t>
      </w:r>
      <w:r>
        <w:t xml:space="preserve">Continue to refine materials to ensure they resonate with local Myanmar values and curriculum requirements.</w:t>
      </w:r>
    </w:p>
    <w:p>
      <w:pPr>
        <w:pStyle w:val="BodyText"/>
      </w:pPr>
      <w:r>
        <w:t xml:space="preserve">In conclusion, this Lab Report confirms that investing in the professional development of Teacher Secondary educators is a high-yield strategy for improving educational quality in Myanmar Yangon. By treating teacher training as an evolving scientific process, we can continuously adapt and improve our educational outputs.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Secondary Teacher Competency Framework in Myanmar Yangon</dc:title>
  <dc:creator/>
  <dc:language>en</dc:language>
  <cp:keywords/>
  <dcterms:created xsi:type="dcterms:W3CDTF">2026-07-29T01:57:21Z</dcterms:created>
  <dcterms:modified xsi:type="dcterms:W3CDTF">2026-07-29T01:57:21Z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