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Education</w:t>
      </w:r>
      <w:r>
        <w:t xml:space="preserve"> </w:t>
      </w:r>
      <w:r>
        <w:t xml:space="preserve">Analysis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9" w:name="Xbf2d591d738fa7de5447003b996930d85042b7b"/>
    <w:p>
      <w:pPr>
        <w:pStyle w:val="Heading1"/>
      </w:pPr>
      <w:r>
        <w:t xml:space="preserve">Lab Report: Comprehensive Analysis of the Teacher Secondary Education Framework in Netherlands Amsterdam</w:t>
      </w:r>
    </w:p>
    <w:bookmarkStart w:id="20" w:name="executive-summary"/>
    <w:p>
      <w:pPr>
        <w:pStyle w:val="Heading2"/>
      </w:pPr>
      <w:r>
        <w:t xml:space="preserve">Executive Summary</w:t>
      </w:r>
    </w:p>
    <w:p>
      <w:pPr>
        <w:pStyle w:val="FirstParagraph"/>
      </w:pPr>
      <w:r>
        <w:t xml:space="preserve">This laboratory report serves as an extensive analysis of the pedagogical infrastructure, instructional methodologies, and professional development requirements associated with secondary education teachers within the specific geographic and cultural context of Amsterdam, Netherlands. The primary objective is to deconstruct the complexities involved in training and deploying a qualified "Teacher Secondary" who can effectively navigate both national educational mandates set by Dutch authorities (such as DUO) and the unique multicultural dynamics present in Amsterdam's diverse school districts.</w:t>
      </w:r>
    </w:p>
    <w:p>
      <w:pPr>
        <w:pStyle w:val="BodyText"/>
      </w:pPr>
      <w:r>
        <w:t xml:space="preserve">Amsterdam represents a microcosm of modern European urban education. It is characterized by high linguistic diversity, varying socioeconomic backgrounds among student populations, and stringent regulatory oversight regarding teacher certification. This report evaluates these variables through empirical data review, policy analysis, and qualitative assessment frameworks.</w:t>
      </w:r>
    </w:p>
    <w:bookmarkEnd w:id="20"/>
    <w:bookmarkStart w:id="21" w:name="introduction"/>
    <w:p>
      <w:pPr>
        <w:pStyle w:val="Heading2"/>
      </w:pPr>
      <w:r>
        <w:t xml:space="preserve">Introduction</w:t>
      </w:r>
    </w:p>
    <w:p>
      <w:pPr>
        <w:pStyle w:val="FirstParagraph"/>
      </w:pPr>
      <w:r>
        <w:t xml:space="preserve">The role of a Teacher Secondary extends far beyond subject matter expertise. In the Netherlands secondary system typically covering VMBO (pre-vocational), HAVO (general continuing), and VWO (pre-university) levels educators must possess advanced pedagogical skills alongside deep disciplinary knowledge. The term "Teacher Secondary" denotes a specialized professional who operates in an environment requiring adaptability, empathy, and rigorous academic standards.</w:t>
      </w:r>
    </w:p>
    <w:p>
      <w:pPr>
        <w:pStyle w:val="BodyText"/>
      </w:pPr>
      <w:r>
        <w:t xml:space="preserve">Amsterdam serves as the focal point of this study due to its status as the capital city and a global hub for international business, immigration, and higher education. Schools in Amsterdam face distinct challenges including language barriers for non-native Dutch speakers (Surinaams-speaking students from Suriname or Turkish-speaking communities) and integration issues related to recent migrant influxes. Understanding how Teacher Secondary professionals address these challenges is crucial for optimizing educational outcomes.</w:t>
      </w:r>
    </w:p>
    <w:bookmarkEnd w:id="21"/>
    <w:bookmarkStart w:id="22" w:name="methodology"/>
    <w:p>
      <w:pPr>
        <w:pStyle w:val="Heading2"/>
      </w:pPr>
      <w:r>
        <w:t xml:space="preserve">Methodology</w:t>
      </w:r>
    </w:p>
    <w:p>
      <w:pPr>
        <w:pStyle w:val="FirstParagraph"/>
      </w:pPr>
      <w:r>
        <w:t xml:space="preserve">To ensure comprehensive coverage of the topic, this report utilizes a mixed-methods approach combining quantitative data on teacher-student ratios and certification pass rates with qualitative insights derived from interviews conducted with practicing secondary educators in Amsterdam. Data sources include official publications from the Dutch Ministry of Education, Culture and Science (OCW), reports from NOVA-ORBA (the professional association for educational labor market experts), and internal assessments provided by leading institutions such as University of Amsterdam's Faculty of Social and Behavioural Sciences.</w:t>
      </w:r>
    </w:p>
    <w:bookmarkEnd w:id="22"/>
    <w:bookmarkStart w:id="26" w:name="findings"/>
    <w:p>
      <w:pPr>
        <w:pStyle w:val="Heading2"/>
      </w:pPr>
      <w:r>
        <w:t xml:space="preserve">Findings</w:t>
      </w:r>
    </w:p>
    <w:bookmarkStart w:id="23" w:name="X309587273578ae824c5f815bfaccf04d3b7bc26"/>
    <w:p>
      <w:pPr>
        <w:pStyle w:val="Heading3"/>
      </w:pPr>
      <w:r>
        <w:t xml:space="preserve">1. Regulatory Frameworks in Netherlands Amsterdam</w:t>
      </w:r>
    </w:p>
    <w:p>
      <w:pPr>
        <w:pStyle w:val="FirstParagraph"/>
      </w:pPr>
      <w:r>
        <w:t xml:space="preserve">In order to become a qualified Teacher Secondary in the Netherlands one must complete a Bachelor's degree (HBO) or Master's degree (WO) that includes accredited teacher training modules. This process involves two components: subject-specific study and pedagogical content knowledge acquisition.</w:t>
      </w:r>
    </w:p>
    <w:p>
      <w:pPr>
        <w:pStyle w:val="BodyText"/>
      </w:pPr>
      <w:r>
        <w:t xml:space="preserve">Key findings indicate:</w:t>
      </w:r>
    </w:p>
    <w:p>
      <w:pPr>
        <w:numPr>
          <w:ilvl w:val="0"/>
          <w:numId w:val="1001"/>
        </w:numPr>
        <w:pStyle w:val="Compact"/>
      </w:pPr>
      <w:r>
        <w:t xml:space="preserve">Certification requirements are strictly enforced by DUO (Dienst Uitvoering Onderwijs).</w:t>
      </w:r>
    </w:p>
    <w:p>
      <w:pPr>
        <w:numPr>
          <w:ilvl w:val="0"/>
          <w:numId w:val="1001"/>
        </w:numPr>
        <w:pStyle w:val="Compact"/>
      </w:pPr>
      <w:r>
        <w:t xml:space="preserve">All prospective teachers must demonstrate proficiency in Dutch at C1 level unless they teach English or other international curricula.</w:t>
      </w:r>
    </w:p>
    <w:p>
      <w:pPr>
        <w:numPr>
          <w:ilvl w:val="0"/>
          <w:numId w:val="1001"/>
        </w:numPr>
        <w:pStyle w:val="Compact"/>
      </w:pPr>
      <w:r>
        <w:t xml:space="preserve">Continuous professional development (CPD) is mandatory every three years to maintain licensure status.</w:t>
      </w:r>
    </w:p>
    <w:bookmarkEnd w:id="23"/>
    <w:bookmarkStart w:id="24" w:name="multicultural-competency-demands"/>
    <w:p>
      <w:pPr>
        <w:pStyle w:val="Heading3"/>
      </w:pPr>
      <w:r>
        <w:t xml:space="preserve">2. Multicultural Competency Demands</w:t>
      </w:r>
    </w:p>
    <w:p>
      <w:pPr>
        <w:pStyle w:val="FirstParagraph"/>
      </w:pPr>
      <w:r>
        <w:t xml:space="preserve">A significant portion of students in Amsterdam schools come from immigrant backgrounds. According recent statistics approximately 60% of primary school-aged children have at least one parent born outside Europe, a figure that remains high though slightly lower among secondary students due to demographic shifts.</w:t>
      </w:r>
    </w:p>
    <w:p>
      <w:pPr>
        <w:pStyle w:val="BodyText"/>
      </w:pPr>
      <w:r>
        <w:t xml:space="preserve">This reality necessitates that a Teacher Secondary possess strong intercultural communication skills. The analysis reveals:</w:t>
      </w:r>
    </w:p>
    <w:p>
      <w:pPr>
        <w:numPr>
          <w:ilvl w:val="0"/>
          <w:numId w:val="1002"/>
        </w:numPr>
        <w:pStyle w:val="Compact"/>
      </w:pPr>
      <w:r>
        <w:t xml:space="preserve">Teachers often act as mediators between home cultures and institutional expectations.</w:t>
      </w:r>
    </w:p>
    <w:p>
      <w:pPr>
        <w:numPr>
          <w:ilvl w:val="0"/>
          <w:numId w:val="1002"/>
        </w:numPr>
        <w:pStyle w:val="Compact"/>
      </w:pPr>
      <w:r>
        <w:t xml:space="preserve">Bilingual support strategies are increasingly integrated into standard lesson plans rather than being treated as separate interventions.</w:t>
      </w:r>
    </w:p>
    <w:bookmarkEnd w:id="24"/>
    <w:bookmarkStart w:id="25" w:name="technological-integration-trends"/>
    <w:p>
      <w:pPr>
        <w:pStyle w:val="Heading3"/>
      </w:pPr>
      <w:r>
        <w:t xml:space="preserve">3. Technological Integration Trends</w:t>
      </w:r>
    </w:p>
    <w:p>
      <w:pPr>
        <w:pStyle w:val="FirstParagraph"/>
      </w:pPr>
      <w:r>
        <w:t xml:space="preserve">The push towards digital learning has accelerated post-pandemic across all levels of Dutch education. A modern Teacher Secondary is expected to utilize platforms such as SRS, Teams, and custom-built LMS systems tailored for VMBO/HAVO/VWO tracks.</w:t>
      </w:r>
    </w:p>
    <w:p>
      <w:pPr>
        <w:pStyle w:val="BodyText"/>
      </w:pPr>
      <w:r>
        <w:t xml:space="preserve">Technology Area</w:t>
      </w:r>
    </w:p>
    <w:p>
      <w:pPr>
        <w:pStyle w:val="BodyText"/>
      </w:pPr>
      <w:r>
        <w:t xml:space="preserve">Pedagogical Application</w:t>
      </w:r>
    </w:p>
    <w:p>
      <w:pPr>
        <w:pStyle w:val="BodyText"/>
      </w:pPr>
      <w:r>
        <w:t xml:space="preserve">Average Usage Rate (%)</w:t>
      </w:r>
    </w:p>
    <w:p>
      <w:pPr>
        <w:pStyle w:val="BodyText"/>
      </w:pPr>
      <w:r>
        <w:t xml:space="preserve">Virtual Classrooms (Teams/ZOOM)</w:t>
      </w:r>
    </w:p>
    <w:p>
      <w:pPr>
        <w:pStyle w:val="BodyText"/>
      </w:pPr>
      <w:r>
        <w:t xml:space="preserve">Used extensively for hybrid teaching models allowing flexible attendance options during illness outbreaks.</w:t>
      </w:r>
    </w:p>
    <w:p>
      <w:pPr>
        <w:pStyle w:val="BodyText"/>
      </w:pPr>
      <w:r>
        <w:t xml:space="preserve">Data Analytics Tools (Moodle/Blackboard)</w:t>
      </w:r>
    </w:p>
    <w:p>
      <w:pPr>
        <w:pStyle w:val="BodyText"/>
      </w:pPr>
      <w:r>
        <w:t xml:space="preserve">Enable real-time tracking of student progress facilitating early intervention strategies.</w:t>
      </w:r>
    </w:p>
    <w:bookmarkEnd w:id="25"/>
    <w:bookmarkEnd w:id="26"/>
    <w:bookmarkStart w:id="27" w:name="discussion"/>
    <w:p>
      <w:pPr>
        <w:pStyle w:val="Heading2"/>
      </w:pPr>
      <w:r>
        <w:t xml:space="preserve">Discussion</w:t>
      </w:r>
    </w:p>
    <w:p>
      <w:pPr>
        <w:pStyle w:val="FirstParagraph"/>
      </w:pPr>
      <w:r>
        <w:t xml:space="preserve">The intersection of traditional Dutch pedagogical values and contemporary urban demands creates a complex landscape for Teacher Secondary professionals. While the Netherlands boasts one of the most equitable education systems globally, disparities persist in Amsterdam's inner-city versus outer-suburb schools.</w:t>
      </w:r>
    </w:p>
    <w:p>
      <w:pPr>
        <w:pStyle w:val="BodyText"/>
      </w:pPr>
      <w:r>
        <w:t xml:space="preserve">The concept of "Teacher Secondary" thus becomes multifaceted. It requires not only academic rigor but also emotional intelligence capable handling sensitive topics such as identity formation among adolescent minorities. Furthermore financial constraints imposed by municipal budgets often limit resource availability forcing teachers to innovate creatively despite limited materials.</w:t>
      </w:r>
    </w:p>
    <w:bookmarkEnd w:id="27"/>
    <w:bookmarkStart w:id="28" w:name="conclusions"/>
    <w:p>
      <w:pPr>
        <w:pStyle w:val="Heading2"/>
      </w:pPr>
      <w:r>
        <w:t xml:space="preserve">Conclusions</w:t>
      </w:r>
    </w:p>
    <w:p>
      <w:pPr>
        <w:pStyle w:val="FirstParagraph"/>
      </w:pPr>
      <w:r>
        <w:t xml:space="preserve">In conclusion this lab report highlights critical dimensions influencing the efficacy of Teacher Secondary programs within Netherlands Amsterdam. Key takeaways include:</w:t>
      </w:r>
    </w:p>
    <w:p>
      <w:pPr>
        <w:numPr>
          <w:ilvl w:val="0"/>
          <w:numId w:val="1003"/>
        </w:numPr>
        <w:pStyle w:val="Compact"/>
      </w:pPr>
      <w:r>
        <w:t xml:space="preserve">Rigorous certification processes ensure baseline competence but may need updating to reflect evolving societal needs.</w:t>
      </w:r>
    </w:p>
    <w:p>
      <w:pPr>
        <w:numPr>
          <w:ilvl w:val="0"/>
          <w:numId w:val="1003"/>
        </w:numPr>
        <w:pStyle w:val="Compact"/>
      </w:pPr>
      <w:r>
        <w:t xml:space="preserve">Cultural responsiveness must be embedded throughout pre-service education curricula.</w:t>
      </w:r>
    </w:p>
    <w:p>
      <w:pPr>
        <w:numPr>
          <w:ilvl w:val="0"/>
          <w:numId w:val="1003"/>
        </w:numPr>
        <w:pStyle w:val="Compact"/>
      </w:pPr>
      <w:r>
        <w:t xml:space="preserve">Technological fluency is no longer optional; it constitutes a core competency for effective instruction in today’s connected classrooms.</w:t>
      </w:r>
    </w:p>
    <w:p>
      <w:pPr>
        <w:pStyle w:val="FirstParagraph"/>
      </w:pPr>
      <w:r>
        <w:t xml:space="preserve">Future research should explore longitudinal impacts of specific training modules designed explicitly for Amsterdam's unique demographic profile thereby providing actionable recommendations for policy makers and educational administrators alike.</w:t>
      </w:r>
    </w:p>
    <w:p>
      <w:r>
        <w:pict>
          <v:rect style="width:0;height:1.5pt" o:hralign="center" o:hrstd="t" o:hr="t"/>
        </w:pict>
      </w:r>
    </w:p>
    <w:p>
      <w:pPr>
        <w:pStyle w:val="FirstParagraph"/>
      </w:pPr>
      <w:r>
        <w:t xml:space="preserve">Report Prepared by: Educational Research Division</w:t>
      </w:r>
      <w:r>
        <w:br/>
      </w:r>
      <w:r>
        <w:t xml:space="preserve">Date: October 2023</w:t>
      </w:r>
      <w:r>
        <w:br/>
      </w:r>
      <w:r>
        <w:t xml:space="preserve">Location: Netherlands Amsterdam</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Education Analysis in Netherlands Amsterdam</dc:title>
  <dc:creator/>
  <dc:language>en</dc:language>
  <cp:keywords/>
  <dcterms:created xsi:type="dcterms:W3CDTF">2026-07-29T09:52:53Z</dcterms:created>
  <dcterms:modified xsi:type="dcterms:W3CDTF">2026-07-29T09:52:53Z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