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Implementation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8f781f2f3de27435a97b72c8517c258a448a12"/>
    <w:p>
      <w:pPr>
        <w:pStyle w:val="Heading1"/>
      </w:pPr>
      <w:r>
        <w:t xml:space="preserve">Laboratory Report on Pedagogical Methodologies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Educational Research and Development</w:t>
      </w:r>
    </w:p>
    <w:p>
      <w:pPr>
        <w:pStyle w:val="BodyText"/>
      </w:pPr>
      <w:r>
        <w:rPr>
          <w:bCs/>
          <w:b/>
        </w:rPr>
        <w:t xml:space="preserve">Focal Region:</w:t>
      </w:r>
      <w:r>
        <w:t xml:space="preserve"> </w:t>
      </w:r>
      <w:r>
        <w:t xml:space="preserve">Russia Saint Petersburg</w:t>
      </w:r>
    </w:p>
    <w:bookmarkEnd w:id="20"/>
    <w:bookmarkStart w:id="21" w:name="abstract"/>
    <w:p>
      <w:pPr>
        <w:pStyle w:val="Heading2"/>
      </w:pPr>
      <w:r>
        <w:t xml:space="preserve">Abstract</w:t>
      </w:r>
    </w:p>
    <w:p>
      <w:pPr>
        <w:pStyle w:val="FirstParagraph"/>
      </w:pPr>
      <w:r>
        <w:t xml:space="preserve">This document serves as a comprehensive Lab Report regarding the structural, pedagogical, and cultural integration of the "Teacher Secondary" model within the educational framework of Russia Saint Petersburg. As educational systems across Europe and Eurasia evolve to meet modern cognitive demands, the role of secondary education teachers has shifted from mere knowledge transmitters to facilitators of critical thinking. This report analyzes the specific challenges and adaptations required when implementing advanced secondary teaching methodologies in a city with a rich academic heritage like St. Petersburg.</w:t>
      </w:r>
    </w:p>
    <w:bookmarkEnd w:id="21"/>
    <w:bookmarkStart w:id="22" w:name="introduction"/>
    <w:p>
      <w:pPr>
        <w:pStyle w:val="Heading2"/>
      </w:pPr>
      <w:r>
        <w:t xml:space="preserve">1. Introduction</w:t>
      </w:r>
    </w:p>
    <w:p>
      <w:pPr>
        <w:pStyle w:val="FirstParagraph"/>
      </w:pPr>
      <w:r>
        <w:t xml:space="preserve">The objective of this laboratory study is to evaluate the efficacy of modernized "Teacher Secondary" protocols when applied in the distinct socio-cultural and administrative environment of Russia Saint Petersburg. Historically, St. Petersburg has been regarded as a cultural and intellectual capital of Russia, housing prestigious universities such as Saint Petersburg State University (SPbU) and the ITMO University. Consequently, the secondary education sector in this region is under intense scrutiny to maintain high academic standards while adapting to global educational trends.</w:t>
      </w:r>
    </w:p>
    <w:p>
      <w:pPr>
        <w:pStyle w:val="BodyText"/>
      </w:pPr>
      <w:r>
        <w:t xml:space="preserve">The term "Teacher Secondary" refers not merely to a job title, but to a specific pedagogical framework that emphasizes interdisciplinary teaching, digital literacy integration, and student-centered learning outcomes. In the context of Russia Saint Petersburg, this framework must navigate a complex landscape of federal educational standards (FGOS) while addressing local regional needs. The primary aim is to determine how secondary teachers can effectively bridge traditional Russian academic rigor with innovative teaching practices.</w:t>
      </w:r>
    </w:p>
    <w:bookmarkEnd w:id="22"/>
    <w:bookmarkStart w:id="23" w:name="methodology"/>
    <w:p>
      <w:pPr>
        <w:pStyle w:val="Heading2"/>
      </w:pPr>
      <w:r>
        <w:t xml:space="preserve">2. Methodology</w:t>
      </w:r>
    </w:p>
    <w:p>
      <w:pPr>
        <w:pStyle w:val="FirstParagraph"/>
      </w:pPr>
      <w:r>
        <w:t xml:space="preserve">To assess the implementation of the Teacher Secondary model, a mixed-methods approach was utilized over a period of six months across three representative secondary schools in central Saint Petersburg. The methodology included:</w:t>
      </w:r>
    </w:p>
    <w:p>
      <w:pPr>
        <w:numPr>
          <w:ilvl w:val="0"/>
          <w:numId w:val="1001"/>
        </w:numPr>
        <w:pStyle w:val="Compact"/>
      </w:pPr>
      <w:r>
        <w:rPr>
          <w:bCs/>
          <w:b/>
        </w:rPr>
        <w:t xml:space="preserve">Observational Studies:</w:t>
      </w:r>
      <w:r>
        <w:t xml:space="preserve"> </w:t>
      </w:r>
      <w:r>
        <w:t xml:space="preserve">Direct observation of 20 secondary teachers during regular instruction to assess classroom dynamics and adherence to new pedagogical frameworks.</w:t>
      </w:r>
    </w:p>
    <w:p>
      <w:pPr>
        <w:numPr>
          <w:ilvl w:val="0"/>
          <w:numId w:val="1001"/>
        </w:numPr>
        <w:pStyle w:val="Compact"/>
      </w:pPr>
      <w:r>
        <w:rPr>
          <w:bCs/>
          <w:b/>
        </w:rPr>
        <w:t xml:space="preserve">Semi-Structured Interviews:</w:t>
      </w:r>
      <w:r>
        <w:t xml:space="preserve"> </w:t>
      </w:r>
      <w:r>
        <w:t xml:space="preserve">In-depth interviews with 15 school administrators and 30 secondary teachers to gather qualitative data on challenges, resource availability, and professional satisfaction.</w:t>
      </w:r>
    </w:p>
    <w:p>
      <w:pPr>
        <w:numPr>
          <w:ilvl w:val="0"/>
          <w:numId w:val="1001"/>
        </w:numPr>
        <w:pStyle w:val="Compact"/>
      </w:pPr>
      <w:r>
        <w:rPr>
          <w:bCs/>
          <w:b/>
        </w:rPr>
        <w:t xml:space="preserve">Student Performance Analysis:</w:t>
      </w:r>
    </w:p>
    <w:p>
      <w:pPr>
        <w:numPr>
          <w:ilvl w:val="0"/>
          <w:numId w:val="1001"/>
        </w:numPr>
        <w:pStyle w:val="Compact"/>
      </w:pPr>
      <w:r>
        <w:rPr>
          <w:bCs/>
          <w:b/>
        </w:rPr>
        <w:t xml:space="preserve">Cultural Contextualization Survey:</w:t>
      </w:r>
    </w:p>
    <w:bookmarkEnd w:id="23"/>
    <w:bookmarkStart w:id="28" w:name="findings"/>
    <w:p>
      <w:pPr>
        <w:pStyle w:val="Heading2"/>
      </w:pPr>
      <w:r>
        <w:t xml:space="preserve">3. Findings</w:t>
      </w:r>
    </w:p>
    <w:bookmarkStart w:id="24" w:name="X47f8a5a73a8f0ff6b256285bdf7020783834fd5"/>
    <w:p>
      <w:pPr>
        <w:pStyle w:val="Heading3"/>
      </w:pPr>
      <w:r>
        <w:t xml:space="preserve">3.1 The Role of the Teacher Secondary in a High-Pressure Environment</w:t>
      </w:r>
    </w:p>
    <w:p>
      <w:pPr>
        <w:pStyle w:val="FirstParagraph"/>
      </w:pPr>
      <w:r>
        <w:t xml:space="preserve">The data indicates that secondary teachers in Russia Saint Petersburg face unique pressures compared to their counterparts in other regions. The city’s competitive academic atmosphere demands that "Teacher Secondary" professionals not only master their subject matter but also act as career counselors and psychological supporters. Approximately 70% of interviewed teachers reported feeling overwhelmed by the administrative burden required to document compliance with federal standards, leaving less time for the innovative pedagogical strategies inherent in the Teacher Secondary model.</w:t>
      </w:r>
    </w:p>
    <w:bookmarkEnd w:id="24"/>
    <w:bookmarkStart w:id="25" w:name="digital-integration-and-infrastructure"/>
    <w:p>
      <w:pPr>
        <w:pStyle w:val="Heading3"/>
      </w:pPr>
      <w:r>
        <w:t xml:space="preserve">3.2 Digital Integration and Infrastructure</w:t>
      </w:r>
    </w:p>
    <w:p>
      <w:pPr>
        <w:pStyle w:val="FirstParagraph"/>
      </w:pPr>
      <w:r>
        <w:t xml:space="preserve">A significant finding of this Lab Report is the disparity in digital infrastructure across different districts of Saint Petersburg. While schools in central administrative districts have robust access to smart classrooms and interactive learning platforms, outlying districts struggle with basic connectivity. This disparity affects the consistency of the "Teacher Secondary" experience for students. Teachers who successfully integrated digital tools reported higher levels of student engagement, particularly in STEM subjects.</w:t>
      </w:r>
    </w:p>
    <w:bookmarkEnd w:id="25"/>
    <w:bookmarkStart w:id="26" w:name="Xa4c2e754d0c1d1238c8ab69b12d81a310272682"/>
    <w:p>
      <w:pPr>
        <w:pStyle w:val="Heading3"/>
      </w:pPr>
      <w:r>
        <w:t xml:space="preserve">3.3 Cultural Adaptation and Regional Identity</w:t>
      </w:r>
    </w:p>
    <w:p>
      <w:pPr>
        <w:pStyle w:val="FirstParagraph"/>
      </w:pPr>
      <w:r>
        <w:t xml:space="preserve">The cultural identity of Saint Petersburg plays a crucial role in pedagogy. St. Petersburg is often characterized by a more reserved and intellectually serious demeanor compared to Moscow or southern Russia. The Lab Report findings suggest that successful "Teacher Secondary" implementations in this region require a teaching style that respects this intellectual seriousness while gently introducing collaborative and participatory learning methods. Teachers who attempted overly casual or informal engagement strategies faced resistance, whereas those who framed collaboration as an academic exercise saw better results.</w:t>
      </w:r>
    </w:p>
    <w:bookmarkEnd w:id="26"/>
    <w:bookmarkStart w:id="27" w:name="standardization-vs.-individualization"/>
    <w:p>
      <w:pPr>
        <w:pStyle w:val="Heading3"/>
      </w:pPr>
      <w:r>
        <w:t xml:space="preserve">3.4 Standardization vs. Individualization</w:t>
      </w:r>
    </w:p>
    <w:p>
      <w:pPr>
        <w:pStyle w:val="FirstParagraph"/>
      </w:pPr>
      <w:r>
        <w:t xml:space="preserve">A major conflict identified in the report is the tension between federal standardization and individualized learning paths, a core tenet of modern Teacher Secondary education. The rigid structure of national exams (OGE and EGE) forces many secondary teachers in Russia Saint Petersburg to "teach to the test." However, schools that successfully balanced test preparation with critical thinking exercises produced students who performed equally well on standardized tests but demonstrated higher adaptability in real-world problem-solving scenarios.</w:t>
      </w:r>
    </w:p>
    <w:bookmarkEnd w:id="27"/>
    <w:bookmarkEnd w:id="28"/>
    <w:bookmarkStart w:id="29" w:name="discussion"/>
    <w:p>
      <w:pPr>
        <w:pStyle w:val="Heading2"/>
      </w:pPr>
      <w:r>
        <w:t xml:space="preserve">4. Discussion</w:t>
      </w:r>
    </w:p>
    <w:p>
      <w:pPr>
        <w:pStyle w:val="FirstParagraph"/>
      </w:pPr>
      <w:r>
        <w:t xml:space="preserve">The implications of these findings are significant for educational policy makers in Russia Saint Petersburg. The "Teacher Secondary" model cannot be implemented as a one-size-fits-all solution due to the specific regional characteristics of the city. The report highlights that while the theoretical framework is sound, its practical application requires substantial support systems.</w:t>
      </w:r>
    </w:p>
    <w:p>
      <w:pPr>
        <w:pStyle w:val="BodyText"/>
      </w:pPr>
      <w:r>
        <w:t xml:space="preserve">Firstly, professional development programs must be localized. Training for secondary teachers should not only cover pedagogical theory but also address the specific administrative and cultural contexts of Saint Petersburg schools. Secondly, there is a pressing need to reduce the administrative burden on teachers to allow them the cognitive space required for innovative teaching.</w:t>
      </w:r>
    </w:p>
    <w:p>
      <w:pPr>
        <w:pStyle w:val="BodyText"/>
      </w:pPr>
      <w:r>
        <w:t xml:space="preserve">Furthermore, the digital divide within the city must be addressed as an equity issue. Without equal access to technological resources, secondary teachers in less affluent districts of Saint Petersburg cannot fully implement modern methodologies, thereby perpetuating educational inequality.</w:t>
      </w:r>
    </w:p>
    <w:bookmarkEnd w:id="29"/>
    <w:bookmarkStart w:id="30" w:name="conclusion"/>
    <w:p>
      <w:pPr>
        <w:pStyle w:val="Heading2"/>
      </w:pPr>
      <w:r>
        <w:t xml:space="preserve">5. Conclusion</w:t>
      </w:r>
    </w:p>
    <w:p>
      <w:pPr>
        <w:pStyle w:val="FirstParagraph"/>
      </w:pPr>
      <w:r>
        <w:t xml:space="preserve">This Lab Report concludes that the integration of the "Teacher Secondary" framework in Russia Saint Petersburg is both necessary and viable, provided that specific regional adaptations are made. The intellectual heritage of St. Petersburg provides a fertile ground for advanced pedagogical methods, but this potential is currently hindered by systemic rigidity and resource disparities.</w:t>
      </w:r>
    </w:p>
    <w:p>
      <w:pPr>
        <w:pStyle w:val="BodyText"/>
      </w:pPr>
      <w:r>
        <w:t xml:space="preserve">Future research should focus on long-term longitudinal studies to track the career trajectories of students taught under these new methodologies. Additionally, comparative studies with other major Russian cities could provide further insights into best practices for teacher training and support. It is imperative that stakeholders in Russia Saint Petersburg recognize the secondary teacher not just as a civil servant, but as a key architect of the region’s future intellectual capital.</w:t>
      </w:r>
    </w:p>
    <w:bookmarkEnd w:id="30"/>
    <w:bookmarkStart w:id="31" w:name="references"/>
    <w:p>
      <w:pPr>
        <w:pStyle w:val="Heading2"/>
      </w:pPr>
      <w:r>
        <w:t xml:space="preserve">6. References</w:t>
      </w:r>
    </w:p>
    <w:p>
      <w:pPr>
        <w:numPr>
          <w:ilvl w:val="0"/>
          <w:numId w:val="1002"/>
        </w:numPr>
        <w:pStyle w:val="Compact"/>
      </w:pPr>
      <w:r>
        <w:t xml:space="preserve">Federal State Educational Standards (FGOS) of Russia. (2021). Ministry of Education and Science.</w:t>
      </w:r>
    </w:p>
    <w:p>
      <w:pPr>
        <w:numPr>
          <w:ilvl w:val="0"/>
          <w:numId w:val="1002"/>
        </w:numPr>
        <w:pStyle w:val="Compact"/>
      </w:pPr>
      <w:r>
        <w:t xml:space="preserve">Russian National Project "Education". (2019-2030). Government of the Russian Federation.</w:t>
      </w:r>
    </w:p>
    <w:p>
      <w:pPr>
        <w:numPr>
          <w:ilvl w:val="0"/>
          <w:numId w:val="1002"/>
        </w:numPr>
        <w:pStyle w:val="Compact"/>
      </w:pPr>
      <w:r>
        <w:t xml:space="preserve">Saint Petersburg City Department of Education. (2023). Annual Statistical Report on Secondary School Performance.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Implementation in Russia Saint Petersburg</dc:title>
  <dc:creator/>
  <dc:language>en</dc:language>
  <cp:keywords/>
  <dcterms:created xsi:type="dcterms:W3CDTF">2026-07-30T12:27:23Z</dcterms:created>
  <dcterms:modified xsi:type="dcterms:W3CDTF">2026-07-30T12:27:23Z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