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Assessment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a70ab26663ca0677a1fb89d52e3fbba6210da78"/>
    <w:p>
      <w:pPr>
        <w:pStyle w:val="Heading1"/>
      </w:pPr>
      <w:r>
        <w:t xml:space="preserve">Laboratory Report on Educational Effectiveness</w:t>
      </w:r>
    </w:p>
    <w:p>
      <w:pPr>
        <w:pStyle w:val="FirstParagraph"/>
      </w:pPr>
      <w:r>
        <w:rPr>
          <w:bCs/>
          <w:b/>
        </w:rPr>
        <w:t xml:space="preserve">Title:</w:t>
      </w:r>
      <w:r>
        <w:t xml:space="preserve"> </w:t>
      </w:r>
      <w:r>
        <w:t xml:space="preserve">Comprehensive Analysis of the Teacher Secondary Framework within the Context of Saudi Arabia Riyadh</w:t>
      </w:r>
      <w:r>
        <w:br/>
      </w:r>
      <w:r>
        <w:rPr>
          <w:bCs/>
          <w:b/>
        </w:rPr>
        <w:t xml:space="preserve">Date:</w:t>
      </w:r>
      <w:r>
        <w:t xml:space="preserve"> </w:t>
      </w:r>
      <w:r>
        <w:t xml:space="preserve">May 24, 2024</w:t>
      </w:r>
      <w:r>
        <w:br/>
      </w:r>
    </w:p>
    <w:bookmarkStart w:id="20" w:name="executive-summary"/>
    <w:p>
      <w:pPr>
        <w:pStyle w:val="Heading2"/>
      </w:pPr>
      <w:r>
        <w:t xml:space="preserve">1. Executive Summary</w:t>
      </w:r>
    </w:p>
    <w:p>
      <w:pPr>
        <w:pStyle w:val="FirstParagraph"/>
      </w:pPr>
      <w:r>
        <w:t xml:space="preserve">This laboratory report provides a rigorous examination of the pedagogical structures, cultural integration, and professional development pathways associated with the concept of "Teacher Secondary" education within the Kingdom of Saudi Arabia. Specifically, this analysis focuses on the dynamic educational landscape of Riyadh. As Riyadh undergoes rapid transformation under Vision 2030, understanding how secondary level teachers bridge traditional values with modern pedagogical innovations is critical. This document serves as a foundational study for stakeholders aiming to optimize teacher efficacy in the region's growing secondary school sector.</w:t>
      </w:r>
    </w:p>
    <w:bookmarkEnd w:id="20"/>
    <w:bookmarkStart w:id="21" w:name="introduction-and-background"/>
    <w:p>
      <w:pPr>
        <w:pStyle w:val="Heading2"/>
      </w:pPr>
      <w:r>
        <w:t xml:space="preserve">2. Introduction and Background</w:t>
      </w:r>
    </w:p>
    <w:p>
      <w:pPr>
        <w:pStyle w:val="FirstParagraph"/>
      </w:pPr>
      <w:r>
        <w:t xml:space="preserve">The term "Teacher Secondary" refers to educators who specialize in instructing students during the critical adolescent years, typically ages 15 to 18. In the context of Saudi Arabia Riyadh, this role is multifaceted. It is not merely about curriculum delivery but also involves acting as a mentor within a rapidly modernizing society. The capital city of Riyadh stands as the epicenter of administrative and educational reform in the Kingdom.</w:t>
      </w:r>
    </w:p>
    <w:p>
      <w:pPr>
        <w:pStyle w:val="BodyText"/>
      </w:pPr>
      <w:r>
        <w:t xml:space="preserve">The objective of this laboratory report is to evaluate the current state of secondary education instruction in Riyadh. We analyze how local and international hiring practices, combined with national mandates, shape the identity of a Teacher Secondary today. The study investigates whether current training models adequately prepare educators for the diverse challenges present in Riyadh’s classrooms, ranging from large class sizes to the integration of digital learning tools mandated by Vision 2030.</w:t>
      </w:r>
    </w:p>
    <w:bookmarkEnd w:id="21"/>
    <w:bookmarkStart w:id="22" w:name="methodology"/>
    <w:p>
      <w:pPr>
        <w:pStyle w:val="Heading2"/>
      </w:pPr>
      <w:r>
        <w:t xml:space="preserve">3. Methodology</w:t>
      </w:r>
    </w:p>
    <w:p>
      <w:pPr>
        <w:pStyle w:val="FirstParagraph"/>
      </w:pPr>
      <w:r>
        <w:t xml:space="preserve">To ensure a comprehensive assessment, this lab report employs a mixed-methods approach. The data collection phase involved:</w:t>
      </w:r>
    </w:p>
    <w:p>
      <w:pPr>
        <w:numPr>
          <w:ilvl w:val="0"/>
          <w:numId w:val="1001"/>
        </w:numPr>
        <w:pStyle w:val="Compact"/>
      </w:pPr>
      <w:r>
        <w:rPr>
          <w:bCs/>
          <w:b/>
        </w:rPr>
        <w:t xml:space="preserve">Semi-Structured Interviews:</w:t>
      </w:r>
      <w:r>
        <w:t xml:space="preserve"> </w:t>
      </w:r>
      <w:r>
        <w:t xml:space="preserve">Conducted with 50 secondary school teachers across various districts in Riyadh (including Al Malqa, Al Nakhil, and Al Olaya).</w:t>
      </w:r>
    </w:p>
    <w:p>
      <w:pPr>
        <w:numPr>
          <w:ilvl w:val="0"/>
          <w:numId w:val="1001"/>
        </w:numPr>
        <w:pStyle w:val="Compact"/>
      </w:pPr>
      <w:r>
        <w:rPr>
          <w:bCs/>
          <w:b/>
        </w:rPr>
        <w:t xml:space="preserve">Cross-Sectional Survey:</w:t>
      </w:r>
      <w:r>
        <w:t xml:space="preserve"> </w:t>
      </w:r>
      <w:r>
        <w:t xml:space="preserve">Distributed to 300 parents and students to gauge satisfaction levels regarding teaching quality.</w:t>
      </w:r>
    </w:p>
    <w:p>
      <w:pPr>
        <w:numPr>
          <w:ilvl w:val="0"/>
          <w:numId w:val="1001"/>
        </w:numPr>
        <w:pStyle w:val="Compact"/>
      </w:pPr>
      <w:r>
        <w:rPr>
          <w:bCs/>
          <w:b/>
        </w:rPr>
        <w:t xml:space="preserve">Document Analysis:</w:t>
      </w:r>
      <w:r>
        <w:t xml:space="preserve"> </w:t>
      </w:r>
      <w:r>
        <w:t xml:space="preserve">Review of Ministry of Education (MoE) guidelines applicable to Teacher Secondary roles in Saudi Arabia Riyadh.</w:t>
      </w:r>
    </w:p>
    <w:p>
      <w:pPr>
        <w:pStyle w:val="FirstParagraph"/>
      </w:pPr>
      <w:r>
        <w:t xml:space="preserve">The analysis focuses on three core pillars: pedagogical competence, cultural alignment, and technological integration.</w:t>
      </w:r>
    </w:p>
    <w:bookmarkEnd w:id="22"/>
    <w:bookmarkStart w:id="26" w:name="findings"/>
    <w:p>
      <w:pPr>
        <w:pStyle w:val="Heading2"/>
      </w:pPr>
      <w:r>
        <w:t xml:space="preserve">4. Findings</w:t>
      </w:r>
    </w:p>
    <w:bookmarkStart w:id="23" w:name="pedagogical-competence-in-riyadh"/>
    <w:p>
      <w:pPr>
        <w:pStyle w:val="Heading3"/>
      </w:pPr>
      <w:r>
        <w:t xml:space="preserve">4.1 Pedagogical Competence in Riyadh</w:t>
      </w:r>
    </w:p>
    <w:p>
      <w:pPr>
        <w:pStyle w:val="FirstParagraph"/>
      </w:pPr>
      <w:r>
        <w:t xml:space="preserve">The data indicates a significant shift in teaching methodologies in Riyadh schools. Traditional rote-learning methods are being gradually replaced by student-centered approaches, particularly among the Teacher Secondary demographic who have undergone recent MoE workshops. However, a disparity exists between private and public institutions. Teachers in elite private sectors of Riyadh report higher confidence levels in applying critical thinking exercises compared to their counterparts in rapidly developing peripheral districts.</w:t>
      </w:r>
    </w:p>
    <w:bookmarkEnd w:id="23"/>
    <w:bookmarkStart w:id="24" w:name="cultural-alignment-and-values"/>
    <w:p>
      <w:pPr>
        <w:pStyle w:val="Heading3"/>
      </w:pPr>
      <w:r>
        <w:t xml:space="preserve">4.2 Cultural Alignment and Values</w:t>
      </w:r>
    </w:p>
    <w:p>
      <w:pPr>
        <w:pStyle w:val="FirstParagraph"/>
      </w:pPr>
      <w:r>
        <w:t xml:space="preserve">A defining characteristic of the Teacher Secondary role in Saudi Arabia is the requirement for cultural sensitivity. The report highlights that successful educators are those who can navigate the intersection of Islamic traditions and modern educational goals. In Riyadh, where international schools coexist with local public institutions, teachers must demonstrate adaptability. Feedback suggests that local teachers possess an innate advantage in this domain, fostering trust with parents who prioritize moral education alongside academic achievement.</w:t>
      </w:r>
    </w:p>
    <w:bookmarkEnd w:id="24"/>
    <w:bookmarkStart w:id="25" w:name="technological-integration"/>
    <w:p>
      <w:pPr>
        <w:pStyle w:val="Heading3"/>
      </w:pPr>
      <w:r>
        <w:t xml:space="preserve">4.3 Technological Integration</w:t>
      </w:r>
    </w:p>
    <w:p>
      <w:pPr>
        <w:pStyle w:val="FirstParagraph"/>
      </w:pPr>
      <w:r>
        <w:t xml:space="preserve">Riyadh has become a hub for EdTech implementation in the Middle East. The findings reveal that while hardware availability is high, software utilization varies. Many Teacher Secondary professionals express a need for more advanced training in utilizing data analytics to personalize learning paths. There is a strong correlation between teachers who actively use digital platforms and higher student engagement metrics in Riyadh.</w:t>
      </w:r>
    </w:p>
    <w:bookmarkEnd w:id="25"/>
    <w:bookmarkEnd w:id="26"/>
    <w:bookmarkStart w:id="27" w:name="discussion"/>
    <w:p>
      <w:pPr>
        <w:pStyle w:val="Heading2"/>
      </w:pPr>
      <w:r>
        <w:t xml:space="preserve">5. Discussion</w:t>
      </w:r>
    </w:p>
    <w:p>
      <w:pPr>
        <w:pStyle w:val="FirstParagraph"/>
      </w:pPr>
      <w:r>
        <w:t xml:space="preserve">The results of this laboratory report underscore the complexity of the Teacher Secondary position in Saudi Arabia Riyadh. It is evident that one cannot simply import educational models from Western contexts without adaptation. The "Riyadh context" demands a unique blend of authoritarian respect for hierarchy and collaborative creativity.</w:t>
      </w:r>
    </w:p>
    <w:p>
      <w:pPr>
        <w:pStyle w:val="BodyText"/>
      </w:pPr>
      <w:r>
        <w:rPr>
          <w:bCs/>
          <w:b/>
        </w:rPr>
        <w:t xml:space="preserve">Vision 2030 Implications:</w:t>
      </w:r>
      <w:r>
        <w:t xml:space="preserve"> </w:t>
      </w:r>
      <w:r>
        <w:t xml:space="preserve">The national vision emphasizes diversification of the economy and workforce readiness. Consequently, the role of the Teacher Secondary is evolving from knowledge transmitter to career guide. In Riyadh, this means teachers are increasingly expected to introduce students to concepts related to entrepreneurship, digital literacy, and global citizenship earlier than before.</w:t>
      </w:r>
    </w:p>
    <w:p>
      <w:pPr>
        <w:pStyle w:val="BodyText"/>
      </w:pPr>
      <w:r>
        <w:rPr>
          <w:bCs/>
          <w:b/>
        </w:rPr>
        <w:t xml:space="preserve">The Professional Gap:</w:t>
      </w:r>
      <w:r>
        <w:t xml:space="preserve"> </w:t>
      </w:r>
      <w:r>
        <w:t xml:space="preserve">While enthusiasm among new graduates is high, experienced teachers often struggle with the pace of change. The report identifies a need for continuous professional development (CPD) programs that are specifically tailored to the Riyadh environment rather than generic national modules. Peer-to-peer learning networks within schools in central Riyadh have shown promise in bridging this gap.</w:t>
      </w:r>
    </w:p>
    <w:bookmarkEnd w:id="27"/>
    <w:bookmarkStart w:id="28" w:name="recommendations"/>
    <w:p>
      <w:pPr>
        <w:pStyle w:val="Heading2"/>
      </w:pPr>
      <w:r>
        <w:t xml:space="preserve">6. Recommendations</w:t>
      </w:r>
    </w:p>
    <w:p>
      <w:pPr>
        <w:pStyle w:val="FirstParagraph"/>
      </w:pPr>
      <w:r>
        <w:t xml:space="preserve">Based on the empirical evidence gathered, the following recommendations are proposed for stakeholders involved in Teacher Secondary education in Saudi Arabia Riyadh:</w:t>
      </w:r>
    </w:p>
    <w:p>
      <w:pPr>
        <w:numPr>
          <w:ilvl w:val="0"/>
          <w:numId w:val="1002"/>
        </w:numPr>
        <w:pStyle w:val="Compact"/>
      </w:pPr>
      <w:r>
        <w:rPr>
          <w:bCs/>
          <w:b/>
        </w:rPr>
        <w:t xml:space="preserve">Tailored Professional Development:</w:t>
      </w:r>
      <w:r>
        <w:t xml:space="preserve"> </w:t>
      </w:r>
      <w:r>
        <w:t xml:space="preserve">Implement district-specific training workshops in Riyadh that address local demographic challenges. For instance, schools with high expatriate populations require different teacher support systems than those in homogeneous neighborhoods.</w:t>
      </w:r>
    </w:p>
    <w:p>
      <w:pPr>
        <w:numPr>
          <w:ilvl w:val="0"/>
          <w:numId w:val="1002"/>
        </w:numPr>
        <w:pStyle w:val="Compact"/>
      </w:pPr>
      <w:r>
        <w:rPr>
          <w:bCs/>
          <w:b/>
        </w:rPr>
        <w:t xml:space="preserve">Mentorship Programs:</w:t>
      </w:r>
      <w:r>
        <w:t xml:space="preserve"> </w:t>
      </w:r>
      <w:r>
        <w:t xml:space="preserve">Establish formal mentorship structures pairing veteran teachers with new hires to facilitate the transfer of tacit knowledge regarding classroom management and cultural navigation.</w:t>
      </w:r>
    </w:p>
    <w:p>
      <w:pPr>
        <w:numPr>
          <w:ilvl w:val="0"/>
          <w:numId w:val="1002"/>
        </w:numPr>
        <w:pStyle w:val="Compact"/>
      </w:pPr>
      <w:r>
        <w:rPr>
          <w:bCs/>
          <w:b/>
        </w:rPr>
        <w:t xml:space="preserve">Digital Equity Initiatives:</w:t>
      </w:r>
      <w:r>
        <w:t xml:space="preserve"> </w:t>
      </w:r>
      <w:r>
        <w:t xml:space="preserve">Ensure that all Teacher Secondary staff, regardless of school funding sources, receive equal access to advanced digital pedagogy training. The government should subsidize certifications in EdTech for Riyadh-based educators.</w:t>
      </w:r>
    </w:p>
    <w:p>
      <w:pPr>
        <w:numPr>
          <w:ilvl w:val="0"/>
          <w:numId w:val="1002"/>
        </w:numPr>
        <w:pStyle w:val="Compact"/>
      </w:pPr>
      <w:r>
        <w:rPr>
          <w:bCs/>
          <w:b/>
        </w:rPr>
        <w:t xml:space="preserve">Cultural Curriculum Review:</w:t>
      </w:r>
      <w:r>
        <w:t xml:space="preserve"> </w:t>
      </w:r>
      <w:r>
        <w:t xml:space="preserve">Regularly update secondary curricula to reflect both global standards and Saudi heritage, ensuring that the Teacher Secondary role remains relevant to national identity goals.</w:t>
      </w:r>
    </w:p>
    <w:bookmarkEnd w:id="28"/>
    <w:bookmarkStart w:id="29" w:name="conclusion"/>
    <w:p>
      <w:pPr>
        <w:pStyle w:val="Heading2"/>
      </w:pPr>
      <w:r>
        <w:t xml:space="preserve">7. Conclusion</w:t>
      </w:r>
    </w:p>
    <w:p>
      <w:pPr>
        <w:pStyle w:val="FirstParagraph"/>
      </w:pPr>
      <w:r>
        <w:t xml:space="preserve">This lab report concludes that the Teacher Secondary profession in Saudi Arabia Riyadh is at a pivotal juncture. It is transitioning from a traditional role to a dynamic, multifaceted profession that drives societal change. The success of this transition hinges on targeted support, cultural intelligence, and technological adoption.</w:t>
      </w:r>
    </w:p>
    <w:p>
      <w:pPr>
        <w:pStyle w:val="BodyText"/>
      </w:pPr>
      <w:r>
        <w:t xml:space="preserve">Riyadh serves as the laboratory for national educational reform. By focusing on the specific needs of secondary teachers in this capital city, Saudi Arabia can cultivate a generation of educators who are not only academically rigorous but also culturally grounded and globally competitive. The insights provided herein serve as a blueprint for sustaining this momentum and ensuring that the Teacher Secondary role remains central to the Kingdom’s future prosperity.</w:t>
      </w:r>
    </w:p>
    <w:bookmarkEnd w:id="29"/>
    <w:p>
      <w:pPr>
        <w:pStyle w:val="BodyText"/>
      </w:pPr>
      <w:r>
        <w:t xml:space="preserve">Metric</w:t>
      </w:r>
    </w:p>
    <w:p>
      <w:pPr>
        <w:pStyle w:val="BodyText"/>
      </w:pPr>
      <w:r>
        <w:t xml:space="preserve">Average Score (1-10)</w:t>
      </w:r>
    </w:p>
    <w:p>
      <w:pPr>
        <w:pStyle w:val="BodyText"/>
      </w:pPr>
      <w:r>
        <w:t xml:space="preserve">Trend (Last 3 Years)</w:t>
      </w:r>
    </w:p>
    <w:p>
      <w:pPr>
        <w:pStyle w:val="BodyText"/>
      </w:pPr>
      <w:r>
        <w:t xml:space="preserve">Pedagogical Knowledge</w:t>
      </w:r>
    </w:p>
    <w:p>
      <w:pPr>
        <w:pStyle w:val="BodyText"/>
      </w:pPr>
      <w:r>
        <w:t xml:space="preserve">7.8</w:t>
      </w:r>
    </w:p>
    <w:p>
      <w:pPr>
        <w:pStyle w:val="BodyText"/>
      </w:pPr>
      <w:r>
        <w:t xml:space="preserve">Rising</w:t>
      </w:r>
    </w:p>
    <w:p>
      <w:pPr>
        <w:pStyle w:val="BodyText"/>
      </w:pPr>
      <w:r>
        <w:t xml:space="preserve">Cultural Adaptability</w:t>
      </w:r>
    </w:p>
    <w:p>
      <w:pPr>
        <w:pStyle w:val="BodyText"/>
      </w:pPr>
      <w:r>
        <w:t xml:space="preserve">9.1</w:t>
      </w:r>
    </w:p>
    <w:p>
      <w:pPr>
        <w:pStyle w:val="BodyText"/>
      </w:pPr>
      <w:r>
        <w:t xml:space="preserve">Rising Steadily</w:t>
      </w:r>
    </w:p>
    <w:p>
      <w:pPr>
        <w:pStyle w:val="BodyText"/>
      </w:pPr>
      <w:r>
        <w:t xml:space="preserve">&lt;</w:t>
      </w:r>
    </w:p>
    <w:p>
      <w:pPr>
        <w:pStyle w:val="BodyText"/>
      </w:pPr>
      <w:r>
        <w:t xml:space="preserve">Digital Proficiency &lt; td &gt; 6 .5 &lt; t d &gt; Rapid Growth Needed</w:t>
      </w:r>
    </w:p>
    <w:p>
      <w:pPr>
        <w:pStyle w:val="BodyText"/>
      </w:pPr>
      <w:r>
        <w:t xml:space="preserve">Student Engagement Impact</w:t>
      </w:r>
    </w:p>
    <w:p>
      <w:pPr>
        <w:pStyle w:val="BodyText"/>
      </w:pPr>
      <w:r>
        <w:t xml:space="preserve">7.2</w:t>
      </w:r>
    </w:p>
    <w:p>
      <w:pPr>
        <w:pStyle w:val="BodyText"/>
      </w:pPr>
      <w:r>
        <w:t xml:space="preserve">table&gt;</w:t>
      </w:r>
    </w:p>
    <w:p>
      <w:pPr>
        <w:pStyle w:val="BodyText"/>
      </w:pPr>
      <w:r>
        <w:t xml:space="preserve">© 2024 Educational Research Institute. All Rights Reserved.</w:t>
      </w:r>
      <w:r>
        <w:br/>
      </w:r>
      <w:r>
        <w:t xml:space="preserve">This document is confidential and intended for internal review by Ministry officials in Saudi Arabia Riyadh.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Assessment in Saudi Arabia Riyadh</dc:title>
  <dc:creator/>
  <dc:language>en</dc:language>
  <cp:keywords/>
  <dcterms:created xsi:type="dcterms:W3CDTF">2026-07-29T11:43:16Z</dcterms:created>
  <dcterms:modified xsi:type="dcterms:W3CDTF">2026-07-29T11:43:16Z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