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Placement</w:t>
      </w:r>
      <w:r>
        <w:t xml:space="preserve"> </w:t>
      </w:r>
      <w:r>
        <w:t xml:space="preserve">Analysis</w:t>
      </w:r>
      <w:r>
        <w:t xml:space="preserve"> </w:t>
      </w:r>
      <w:r>
        <w:t xml:space="preserve">for</w:t>
      </w:r>
      <w:r>
        <w:t xml:space="preserve"> </w:t>
      </w:r>
      <w:r>
        <w:t xml:space="preserve">South</w:t>
      </w:r>
      <w:r>
        <w:t xml:space="preserve"> </w:t>
      </w:r>
      <w:r>
        <w:t xml:space="preserve">Korea</w:t>
      </w:r>
      <w:r>
        <w:t xml:space="preserve"> </w:t>
      </w:r>
      <w:r>
        <w:t xml:space="preserve">Seoul</w:t>
      </w:r>
    </w:p>
    <w:bookmarkStart w:id="32" w:name="Xa8309031cc5641642091b3a67ea3b90567a1765"/>
    <w:p>
      <w:pPr>
        <w:pStyle w:val="Heading1"/>
      </w:pPr>
      <w:r>
        <w:t xml:space="preserve">Laboratory Report: Secondary Teacher Placement Analysis for South Korea Seoul</w:t>
      </w:r>
    </w:p>
    <w:p>
      <w:pPr>
        <w:pStyle w:val="FirstParagraph"/>
      </w:pPr>
      <w:r>
        <w:rPr>
          <w:iCs/>
          <w:i/>
          <w:bCs/>
          <w:b/>
        </w:rPr>
        <w:t xml:space="preserve">Note:</w:t>
      </w:r>
      <w:r>
        <w:t xml:space="preserve">This document serves as a comprehensive</w:t>
      </w:r>
      <w:r>
        <w:t xml:space="preserve"> </w:t>
      </w:r>
      <w:hyperlink w:anchor="section1">
        <w:r>
          <w:rPr>
            <w:rStyle w:val="Hyperlink"/>
          </w:rPr>
          <w:t xml:space="preserve">Lab Report</w:t>
        </w:r>
      </w:hyperlink>
      <w:r>
        <w:t xml:space="preserve"> </w:t>
      </w:r>
      <w:r>
        <w:t xml:space="preserve">detailing the structural, pedagogical, and cultural requirements for deploying a qualified</w:t>
      </w:r>
      <w:r>
        <w:t xml:space="preserve"> </w:t>
      </w:r>
      <w:hyperlink w:anchor="section2">
        <w:r>
          <w:rPr>
            <w:rStyle w:val="Hyperlink"/>
          </w:rPr>
          <w:t xml:space="preserve">Teacher Secondary</w:t>
        </w:r>
      </w:hyperlink>
      <w:r>
        <w:t xml:space="preserve"> </w:t>
      </w:r>
      <w:r>
        <w:t xml:space="preserve">within the educational infrastructure of South Korea Seoul. The analysis integrates sociological data, curriculum standards, and operational protocols specific to this high-demand metropolitan zone.</w:t>
      </w:r>
    </w:p>
    <w:bookmarkStart w:id="20" w:name="section1"/>
    <w:p>
      <w:pPr>
        <w:pStyle w:val="Heading2"/>
      </w:pPr>
      <w:r>
        <w:t xml:space="preserve">1.0 Introduction: Contextualizing the Lab Report Framework</w:t>
      </w:r>
    </w:p>
    <w:p>
      <w:pPr>
        <w:pStyle w:val="FirstParagraph"/>
      </w:pPr>
      <w:r>
        <w:t xml:space="preserve">In the realm of international education logistics and academic preparation, treating teacher placement as a systematic "experiment" allows for rigorous evaluation of success factors. This</w:t>
      </w:r>
      <w:r>
        <w:t xml:space="preserve"> </w:t>
      </w:r>
      <w:hyperlink w:anchor="top">
        <w:r>
          <w:rPr>
            <w:rStyle w:val="Hyperlink"/>
            <w:bCs/>
            <w:b/>
          </w:rPr>
          <w:t xml:space="preserve">Lab Report</w:t>
        </w:r>
      </w:hyperlink>
      <w:r>
        <w:t xml:space="preserve"> </w:t>
      </w:r>
      <w:r>
        <w:t xml:space="preserve">is designed to dissect the variables associated with hiring, training, and deploying a secondary school educator in one of the world's most competitive educational markets: South Korea Seoul. The primary objective is to analyze how specific pedagogical strategies and cultural adaptations influence student outcomes and teacher retention rates.</w:t>
      </w:r>
    </w:p>
    <w:p>
      <w:pPr>
        <w:pStyle w:val="BodyText"/>
      </w:pPr>
      <w:r>
        <w:t xml:space="preserve">The city of</w:t>
      </w:r>
      <w:r>
        <w:t xml:space="preserve"> </w:t>
      </w:r>
      <w:r>
        <w:rPr>
          <w:bCs/>
          <w:b/>
        </w:rPr>
        <w:t xml:space="preserve">South Korea Seoul</w:t>
      </w:r>
      <w:r>
        <w:t xml:space="preserve"> </w:t>
      </w:r>
      <w:r>
        <w:t xml:space="preserve">stands as a global hub for innovation and academic pressure. For any foreign educator, understanding the unique ecosystem here is not merely beneficial but essential for survival and success. This report functions as both an analytical tool for administrators recruiting staff and a preparatory guide for the prospective</w:t>
      </w:r>
      <w:r>
        <w:t xml:space="preserve"> </w:t>
      </w:r>
      <w:hyperlink w:anchor="section2">
        <w:r>
          <w:rPr>
            <w:rStyle w:val="Hyperlink"/>
          </w:rPr>
          <w:t xml:space="preserve">Teacher Secondary</w:t>
        </w:r>
      </w:hyperlink>
      <w:r>
        <w:t xml:space="preserve"> </w:t>
      </w:r>
      <w:r>
        <w:t xml:space="preserve">candidate. By examining data points ranging from classroom dynamics to bureaucratic navigation, this document provides a holistic view of what it takes to thrive in this specific geographic and professional context.</w:t>
      </w:r>
    </w:p>
    <w:bookmarkEnd w:id="20"/>
    <w:bookmarkStart w:id="23" w:name="section2"/>
    <w:p>
      <w:pPr>
        <w:pStyle w:val="Heading2"/>
      </w:pPr>
      <w:r>
        <w:t xml:space="preserve">2.0 Methodology: Defining the Role of Teacher Secondary</w:t>
      </w:r>
    </w:p>
    <w:p>
      <w:pPr>
        <w:pStyle w:val="FirstParagraph"/>
      </w:pPr>
      <w:r>
        <w:t xml:space="preserve">The term</w:t>
      </w:r>
      <w:r>
        <w:t xml:space="preserve"> </w:t>
      </w:r>
      <w:hyperlink w:anchor="top">
        <w:r>
          <w:rPr>
            <w:rStyle w:val="Hyperlink"/>
            <w:bCs/>
            <w:b/>
          </w:rPr>
          <w:t xml:space="preserve">Teacher Secondary</w:t>
        </w:r>
      </w:hyperlink>
      <w:r>
        <w:t xml:space="preserve"> </w:t>
      </w:r>
      <w:r>
        <w:t xml:space="preserve">in this context refers specifically to educators teaching students aged 15 to 18, typically in middle school (junior high) or high school settings. Unlike elementary education, which focuses heavily on foundational literacy and socialization, secondary education in</w:t>
      </w:r>
      <w:r>
        <w:t xml:space="preserve"> </w:t>
      </w:r>
      <w:r>
        <w:rPr>
          <w:bCs/>
          <w:b/>
        </w:rPr>
        <w:t xml:space="preserve">South Korea Seoul</w:t>
      </w:r>
      <w:r>
        <w:t xml:space="preserve"> </w:t>
      </w:r>
      <w:r>
        <w:t xml:space="preserve">is characterized by intense academic rigor. The methodology for evaluating a successful candidate involves assessing three core competencies: subject matter expertise, cultural intelligence (CQ), and adaptability to high-stress environments.</w:t>
      </w:r>
    </w:p>
    <w:bookmarkStart w:id="21" w:name="pedagogical-expectations"/>
    <w:p>
      <w:pPr>
        <w:pStyle w:val="Heading3"/>
      </w:pPr>
      <w:r>
        <w:t xml:space="preserve">2.1 Pedagogical Expectations</w:t>
      </w:r>
    </w:p>
    <w:p>
      <w:pPr>
        <w:pStyle w:val="FirstParagraph"/>
      </w:pPr>
      <w:r>
        <w:t xml:space="preserve">In</w:t>
      </w:r>
      <w:r>
        <w:t xml:space="preserve"> </w:t>
      </w:r>
      <w:r>
        <w:rPr>
          <w:bCs/>
          <w:b/>
        </w:rPr>
        <w:t xml:space="preserve">South Korea Seoul</w:t>
      </w:r>
      <w:r>
        <w:t xml:space="preserve">, the curriculum is heavily centralized under the Ministry of Education. However, international schools and certain public exchange programs offer more flexibility. A</w:t>
      </w:r>
      <w:r>
        <w:t xml:space="preserve"> </w:t>
      </w:r>
      <w:hyperlink w:anchor="section2">
        <w:r>
          <w:rPr>
            <w:rStyle w:val="Hyperlink"/>
          </w:rPr>
          <w:t xml:space="preserve">Teacher Secondary</w:t>
        </w:r>
      </w:hyperlink>
      <w:r>
        <w:t xml:space="preserve"> </w:t>
      </w:r>
      <w:r>
        <w:t xml:space="preserve">must be prepared to teach standardized subjects such as English Language Arts, Mathematics, or Science while adhering to national benchmarks. The "experiment" here tests whether Western pedagogical methods (student-centered learning) can coexist with Korean educational traditions (teacher-led instruction). Data suggests that hybrid models yield the best results in Seoul's private international sector.</w:t>
      </w:r>
    </w:p>
    <w:bookmarkEnd w:id="21"/>
    <w:bookmarkStart w:id="22" w:name="cultural-variables"/>
    <w:p>
      <w:pPr>
        <w:pStyle w:val="Heading3"/>
      </w:pPr>
      <w:r>
        <w:t xml:space="preserve">2.2 Cultural Variables</w:t>
      </w:r>
    </w:p>
    <w:p>
      <w:pPr>
        <w:pStyle w:val="FirstParagraph"/>
      </w:pPr>
      <w:r>
        <w:t xml:space="preserve">Cultural integration is a critical variable. A</w:t>
      </w:r>
      <w:r>
        <w:t xml:space="preserve"> </w:t>
      </w:r>
      <w:hyperlink w:anchor="section2">
        <w:r>
          <w:rPr>
            <w:rStyle w:val="Hyperlink"/>
          </w:rPr>
          <w:t xml:space="preserve">Teacher Secondary</w:t>
        </w:r>
      </w:hyperlink>
      <w:r>
        <w:t xml:space="preserve"> </w:t>
      </w:r>
      <w:r>
        <w:t xml:space="preserve">entering</w:t>
      </w:r>
      <w:r>
        <w:t xml:space="preserve"> </w:t>
      </w:r>
      <w:r>
        <w:rPr>
          <w:bCs/>
          <w:b/>
        </w:rPr>
        <w:t xml:space="preserve">South Korea Seoul</w:t>
      </w:r>
      <w:r>
        <w:t xml:space="preserve"> </w:t>
      </w:r>
      <w:r>
        <w:t xml:space="preserve">must navigate complex social hierarchies and respect Confucian values regarding age and authority. This report highlights that teachers who actively participate in school rituals, respect senior faculty, and understand the concept of "Nunchi" (the art of reading the room) significantly outperform their peers in terms of job satisfaction and student engagement.</w:t>
      </w:r>
    </w:p>
    <w:bookmarkEnd w:id="22"/>
    <w:bookmarkEnd w:id="23"/>
    <w:bookmarkStart w:id="26" w:name="section3"/>
    <w:p>
      <w:pPr>
        <w:pStyle w:val="Heading2"/>
      </w:pPr>
      <w:r>
        <w:t xml:space="preserve">3.0 Results: Environmental Analysis of South Korea Seoul</w:t>
      </w:r>
    </w:p>
    <w:p>
      <w:pPr>
        <w:pStyle w:val="FirstParagraph"/>
      </w:pPr>
      <w:r>
        <w:t xml:space="preserve">The findings from this analysis reveal that</w:t>
      </w:r>
      <w:r>
        <w:t xml:space="preserve"> </w:t>
      </w:r>
      <w:r>
        <w:rPr>
          <w:bCs/>
          <w:b/>
        </w:rPr>
        <w:t xml:space="preserve">South Korea Seoul</w:t>
      </w:r>
      <w:r>
        <w:t xml:space="preserve"> </w:t>
      </w:r>
      <w:r>
        <w:t xml:space="preserve">presents a unique set of challenges and rewards for secondary educators. The density, pace, and technological integration in the capital city create an environment where a</w:t>
      </w:r>
      <w:r>
        <w:t xml:space="preserve"> </w:t>
      </w:r>
      <w:hyperlink w:anchor="section2">
        <w:r>
          <w:rPr>
            <w:rStyle w:val="Hyperlink"/>
          </w:rPr>
          <w:t xml:space="preserve">Teacher Secondary</w:t>
        </w:r>
      </w:hyperlink>
      <w:r>
        <w:t xml:space="preserve"> </w:t>
      </w:r>
      <w:r>
        <w:t xml:space="preserve">must be exceptionally resilient.</w:t>
      </w:r>
    </w:p>
    <w:bookmarkStart w:id="24" w:name="technological-integration"/>
    <w:p>
      <w:pPr>
        <w:pStyle w:val="Heading3"/>
      </w:pPr>
      <w:r>
        <w:t xml:space="preserve">3.1 Technological Integration</w:t>
      </w:r>
    </w:p>
    <w:p>
      <w:pPr>
        <w:pStyle w:val="FirstParagraph"/>
      </w:pPr>
      <w:r>
        <w:rPr>
          <w:bCs/>
          <w:b/>
        </w:rPr>
        <w:t xml:space="preserve">South Korea Seoul</w:t>
      </w:r>
      <w:r>
        <w:t xml:space="preserve"> </w:t>
      </w:r>
      <w:r>
        <w:t xml:space="preserve">boasts some of the fastest internet speeds and highest smartphone penetration rates globally. Consequently, classrooms are highly digitized. A</w:t>
      </w:r>
      <w:r>
        <w:t xml:space="preserve"> </w:t>
      </w:r>
      <w:hyperlink w:anchor="section2">
        <w:r>
          <w:rPr>
            <w:rStyle w:val="Hyperlink"/>
          </w:rPr>
          <w:t xml:space="preserve">Teacher Secondary</w:t>
        </w:r>
      </w:hyperlink>
      <w:r>
        <w:t xml:space="preserve"> </w:t>
      </w:r>
      <w:r>
        <w:t xml:space="preserve">is expected to utilize interactive whiteboards, digital learning management systems (LMS), and mobile educational apps effectively. The lack of technological fluency can severely hinder classroom management and lesson delivery.</w:t>
      </w:r>
    </w:p>
    <w:bookmarkEnd w:id="24"/>
    <w:bookmarkStart w:id="25" w:name="the-pressure-cooker-effect"/>
    <w:p>
      <w:pPr>
        <w:pStyle w:val="Heading3"/>
      </w:pPr>
      <w:r>
        <w:t xml:space="preserve">3.2 The Pressure Cooker Effect</w:t>
      </w:r>
    </w:p>
    <w:p>
      <w:pPr>
        <w:pStyle w:val="FirstParagraph"/>
      </w:pPr>
      <w:r>
        <w:t xml:space="preserve">The academic pressure in</w:t>
      </w:r>
      <w:r>
        <w:t xml:space="preserve"> </w:t>
      </w:r>
      <w:r>
        <w:rPr>
          <w:bCs/>
          <w:b/>
        </w:rPr>
        <w:t xml:space="preserve">South Korea Seoul</w:t>
      </w:r>
      <w:r>
        <w:t xml:space="preserve"> </w:t>
      </w:r>
      <w:r>
        <w:t xml:space="preserve">is palpable. Students often attend hagwons (cram schools) after regular school hours to prepare for the CSAT (College Scholastic Ability Test). A</w:t>
      </w:r>
      <w:r>
        <w:t xml:space="preserve"> </w:t>
      </w:r>
      <w:hyperlink w:anchor="section2">
        <w:r>
          <w:rPr>
            <w:rStyle w:val="Hyperlink"/>
          </w:rPr>
          <w:t xml:space="preserve">Teacher Secondary</w:t>
        </w:r>
      </w:hyperlink>
      <w:r>
        <w:t xml:space="preserve"> </w:t>
      </w:r>
      <w:r>
        <w:t xml:space="preserve">must manage student expectations carefully, balancing the need for academic excellence with mental health support. Burnout is a common risk factor in this environment, making self-care strategies a crucial component of professional development.</w:t>
      </w:r>
    </w:p>
    <w:p>
      <w:pPr>
        <w:pStyle w:val="BodyText"/>
      </w:pPr>
      <w:r>
        <w:t xml:space="preserve">Variable</w:t>
      </w:r>
    </w:p>
    <w:p>
      <w:pPr>
        <w:pStyle w:val="BodyText"/>
      </w:pPr>
      <w:r>
        <w:t xml:space="preserve">Description</w:t>
      </w:r>
    </w:p>
    <w:p>
      <w:pPr>
        <w:pStyle w:val="BodyText"/>
      </w:pPr>
      <w:r>
        <w:t xml:space="preserve">I Impact on Teacher Secondary Role in South Korea Seoul</w:t>
      </w:r>
    </w:p>
    <w:p>
      <w:pPr>
        <w:pStyle w:val="BodyText"/>
      </w:pPr>
      <w:r>
        <w:t xml:space="preserve">Mitigation Strategy for Teacher Secondary )</w:t>
      </w:r>
      <w:r>
        <w:br/>
      </w:r>
      <w:r>
        <w:t xml:space="preserve">- Regular debriefing sessions</w:t>
      </w:r>
      <w:r>
        <w:br/>
      </w:r>
      <w:r>
        <w:t xml:space="preserve">- Encouraging work-life balance</w:t>
      </w:r>
      <w:r>
        <w:br/>
      </w:r>
      <w:r>
        <w:t xml:space="preserve">- Building a support network among faculty</w:t>
      </w:r>
    </w:p>
    <w:bookmarkEnd w:id="25"/>
    <w:bookmarkEnd w:id="26"/>
    <w:bookmarkStart w:id="30" w:name="section4"/>
    <w:p>
      <w:pPr>
        <w:pStyle w:val="Heading2"/>
      </w:pPr>
      <w:r>
        <w:t xml:space="preserve">4.0 Discussion: Strategies for Success</w:t>
      </w:r>
    </w:p>
    <w:p>
      <w:pPr>
        <w:pStyle w:val="FirstParagraph"/>
      </w:pPr>
      <w:r>
        <w:t xml:space="preserve">To ensure the efficacy of this</w:t>
      </w:r>
      <w:r>
        <w:t xml:space="preserve"> </w:t>
      </w:r>
      <w:hyperlink w:anchor="top">
        <w:r>
          <w:rPr>
            <w:rStyle w:val="Hyperlink"/>
            <w:bCs/>
            <w:b/>
          </w:rPr>
          <w:t xml:space="preserve">Lab Report</w:t>
        </w:r>
      </w:hyperlink>
      <w:r>
        <w:t xml:space="preserve">'s findings, we must discuss actionable strategies for a</w:t>
      </w:r>
      <w:r>
        <w:t xml:space="preserve"> </w:t>
      </w:r>
      <w:hyperlink w:anchor="section2">
        <w:r>
          <w:rPr>
            <w:rStyle w:val="Hyperlink"/>
          </w:rPr>
          <w:t xml:space="preserve">Teacher Secondary</w:t>
        </w:r>
      </w:hyperlink>
      <w:r>
        <w:t xml:space="preserve"> </w:t>
      </w:r>
      <w:r>
        <w:t xml:space="preserve">operating in</w:t>
      </w:r>
      <w:r>
        <w:t xml:space="preserve"> </w:t>
      </w:r>
      <w:r>
        <w:rPr>
          <w:bCs/>
          <w:b/>
        </w:rPr>
        <w:t xml:space="preserve">South Korea Seoul</w:t>
      </w:r>
      <w:r>
        <w:t xml:space="preserve">. The discussion revolves around three pillars: Communication, Adaptation, and Community.</w:t>
      </w:r>
    </w:p>
    <w:bookmarkStart w:id="27" w:name="communication-barriers-and-solutions"/>
    <w:p>
      <w:pPr>
        <w:pStyle w:val="Heading3"/>
      </w:pPr>
      <w:r>
        <w:t xml:space="preserve">4.1 Communication Barriers and Solutions</w:t>
      </w:r>
    </w:p>
    <w:p>
      <w:pPr>
        <w:pStyle w:val="FirstParagraph"/>
      </w:pPr>
      <w:r>
        <w:t xml:space="preserve">Linguistic barriers can be significant for a</w:t>
      </w:r>
      <w:r>
        <w:t xml:space="preserve"> </w:t>
      </w:r>
      <w:hyperlink w:anchor="section2">
        <w:r>
          <w:rPr>
            <w:rStyle w:val="Hyperlink"/>
          </w:rPr>
          <w:t xml:space="preserve">Teacher Secondary</w:t>
        </w:r>
      </w:hyperlink>
      <w:r>
        <w:t xml:space="preserve">. While English is often the medium of instruction in international settings, administrative tasks may require Korean proficiency. It is recommended that educators engage in intensive language training before arrival. Furthermore, clear communication with parents—who are often highly involved and sometimes demanding—requires tact and cultural sensitivity.</w:t>
      </w:r>
    </w:p>
    <w:bookmarkEnd w:id="27"/>
    <w:bookmarkStart w:id="28" w:name="adapting-to-institutional-culture"/>
    <w:p>
      <w:pPr>
        <w:pStyle w:val="Heading3"/>
      </w:pPr>
      <w:r>
        <w:t xml:space="preserve">4.2 Adapting to Institutional Culture</w:t>
      </w:r>
    </w:p>
    <w:p>
      <w:pPr>
        <w:pStyle w:val="FirstParagraph"/>
      </w:pPr>
      <w:r>
        <w:rPr>
          <w:bCs/>
          <w:b/>
        </w:rPr>
        <w:t xml:space="preserve">South Korea Seoul</w:t>
      </w:r>
      <w:r>
        <w:t xml:space="preserve">'s schools operate on strict schedules and hierarchical structures. A</w:t>
      </w:r>
      <w:r>
        <w:t xml:space="preserve"> </w:t>
      </w:r>
      <w:hyperlink w:anchor="section2">
        <w:r>
          <w:rPr>
            <w:rStyle w:val="Hyperlink"/>
          </w:rPr>
          <w:t xml:space="preserve">Teacher Secondary</w:t>
        </w:r>
      </w:hyperlink>
      <w:r>
        <w:t xml:space="preserve"> </w:t>
      </w:r>
      <w:r>
        <w:t xml:space="preserve">must respect the chain of command while finding innovative ways to introduce new ideas. Patience is key; systemic change in Korean schools often occurs slowly but surely.</w:t>
      </w:r>
    </w:p>
    <w:bookmarkEnd w:id="28"/>
    <w:bookmarkStart w:id="29" w:name="building-community"/>
    <w:p>
      <w:pPr>
        <w:pStyle w:val="Heading3"/>
      </w:pPr>
      <w:r>
        <w:t xml:space="preserve">4.3 Building Community</w:t>
      </w:r>
    </w:p>
    <w:p>
      <w:pPr>
        <w:pStyle w:val="FirstParagraph"/>
      </w:pPr>
      <w:r>
        <w:t xml:space="preserve">Social isolation can lead to early contract termination. A</w:t>
      </w:r>
      <w:r>
        <w:t xml:space="preserve"> </w:t>
      </w:r>
      <w:hyperlink w:anchor="section2">
        <w:r>
          <w:rPr>
            <w:rStyle w:val="Hyperlink"/>
          </w:rPr>
          <w:t xml:space="preserve">Teacher Secondary</w:t>
        </w:r>
      </w:hyperlink>
      <w:r>
        <w:t xml:space="preserve"> </w:t>
      </w:r>
      <w:r>
        <w:t xml:space="preserve">should actively seek connections with both local colleagues and the expatriate community in</w:t>
      </w:r>
      <w:r>
        <w:t xml:space="preserve"> </w:t>
      </w:r>
      <w:r>
        <w:rPr>
          <w:bCs/>
          <w:b/>
        </w:rPr>
        <w:t xml:space="preserve">South Korea Seoul</w:t>
      </w:r>
      <w:r>
        <w:t xml:space="preserve">. Participating in school events, such as sports days and cultural festivals, is an excellent way to build rapport with students and staff.</w:t>
      </w:r>
    </w:p>
    <w:bookmarkEnd w:id="29"/>
    <w:bookmarkEnd w:id="30"/>
    <w:bookmarkStart w:id="31" w:name="section5"/>
    <w:p>
      <w:pPr>
        <w:pStyle w:val="Heading2"/>
      </w:pPr>
      <w:r>
        <w:t xml:space="preserve">5.0 Conclusion: Finalizing the Laboratory Report on Teacher Secondary Placement</w:t>
      </w:r>
    </w:p>
    <w:p>
      <w:pPr>
        <w:pStyle w:val="FirstParagraph"/>
      </w:pPr>
      <w:r>
        <w:t xml:space="preserve">This</w:t>
      </w:r>
      <w:r>
        <w:t xml:space="preserve"> </w:t>
      </w:r>
      <w:hyperlink w:anchor="top">
        <w:r>
          <w:rPr>
            <w:rStyle w:val="Hyperlink"/>
            <w:bCs/>
            <w:b/>
          </w:rPr>
          <w:t xml:space="preserve">Lab Report</w:t>
        </w:r>
      </w:hyperlink>
      <w:r>
        <w:t xml:space="preserve"> </w:t>
      </w:r>
      <w:r>
        <w:t xml:space="preserve">concludes that success as a</w:t>
      </w:r>
      <w:r>
        <w:t xml:space="preserve"> </w:t>
      </w:r>
      <w:hyperlink w:anchor="section2">
        <w:r>
          <w:rPr>
            <w:rStyle w:val="Hyperlink"/>
          </w:rPr>
          <w:t xml:space="preserve">Teacher Secondary</w:t>
        </w:r>
      </w:hyperlink>
      <w:r>
        <w:t xml:space="preserve"> </w:t>
      </w:r>
      <w:r>
        <w:t xml:space="preserve">in</w:t>
      </w:r>
      <w:r>
        <w:t xml:space="preserve"> </w:t>
      </w:r>
      <w:r>
        <w:rPr>
          <w:bCs/>
          <w:b/>
        </w:rPr>
        <w:t xml:space="preserve">South Korea Seoul</w:t>
      </w:r>
      <w:r>
        <w:t xml:space="preserve"> </w:t>
      </w:r>
      <w:r>
        <w:t xml:space="preserve">is contingent upon a multifaceted approach that combines professional competence with deep cultural empathy. The data indicates that teachers who view themselves as cultural ambassadors rather than just instructors tend to have more fulfilling experiences and better long-term outcomes.</w:t>
      </w:r>
    </w:p>
    <w:p>
      <w:pPr>
        <w:pStyle w:val="BodyText"/>
      </w:pPr>
      <w:r>
        <w:t xml:space="preserve">The dynamic environment of</w:t>
      </w:r>
      <w:r>
        <w:t xml:space="preserve"> </w:t>
      </w:r>
      <w:hyperlink w:anchor="top">
        <w:r>
          <w:rPr>
            <w:rStyle w:val="Hyperlink"/>
            <w:bCs/>
            <w:b/>
          </w:rPr>
          <w:t xml:space="preserve">South Korea Seoul</w:t>
        </w:r>
      </w:hyperlink>
      <w:r>
        <w:t xml:space="preserve"> </w:t>
      </w:r>
      <w:r>
        <w:t xml:space="preserve">offers unparalleled opportunities for growth, but it demands high levels of preparation. By adhering to the insights outlined in this report, schools can optimize their hiring processes, and educators can better prepare themselves for the challenges ahead. Ultimately, the "experiment" of teaching secondary education in this region is highly rewarding for those who commit to understanding its unique nuances.</w:t>
      </w:r>
    </w:p>
    <w:p>
      <w:r>
        <w:pict>
          <v:rect style="width:0;height:1.5pt" o:hralign="center" o:hrstd="t" o:hr="t"/>
        </w:pict>
      </w:r>
    </w:p>
    <w:p>
      <w:pPr>
        <w:pStyle w:val="FirstParagraph"/>
      </w:pPr>
      <w:r>
        <w:rPr>
          <w:bCs/>
          <w:b/>
        </w:rPr>
        <w:t xml:space="preserve">Note:</w:t>
      </w:r>
      <w:r>
        <w:t xml:space="preserve"> </w:t>
      </w:r>
      <w:r>
        <w:t xml:space="preserve">This document serves as a foundational guide. Specific institutional policies may vary, and educators should consult with their respective placement agencies for the most up-to-date information regarding visa requirements, compensation packages, and housing allowances in</w:t>
      </w:r>
      <w:r>
        <w:t xml:space="preserve"> </w:t>
      </w:r>
      <w:r>
        <w:rPr>
          <w:bCs/>
          <w:b/>
        </w:rPr>
        <w:t xml:space="preserve">South Korea Seoul</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Placement Analysis for South Korea Seoul</dc:title>
  <dc:creator/>
  <dc:language>en</dc:language>
  <cp:keywords/>
  <dcterms:created xsi:type="dcterms:W3CDTF">2026-07-29T14:31:08Z</dcterms:created>
  <dcterms:modified xsi:type="dcterms:W3CDTF">2026-07-29T14:31:08Z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