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Teacher</w:t>
      </w:r>
      <w:r>
        <w:t xml:space="preserve"> </w:t>
      </w:r>
      <w:r>
        <w:t xml:space="preserve">Evaluation</w:t>
      </w:r>
      <w:r>
        <w:t xml:space="preserve"> </w:t>
      </w:r>
      <w:r>
        <w:t xml:space="preserve">in</w:t>
      </w:r>
      <w:r>
        <w:t xml:space="preserve"> </w:t>
      </w:r>
      <w:r>
        <w:t xml:space="preserve">Colombo,</w:t>
      </w:r>
      <w:r>
        <w:t xml:space="preserve"> </w:t>
      </w:r>
      <w:r>
        <w:t xml:space="preserve">Sri</w:t>
      </w:r>
      <w:r>
        <w:t xml:space="preserve"> </w:t>
      </w:r>
      <w:r>
        <w:t xml:space="preserve">Lanka</w:t>
      </w:r>
    </w:p>
    <w:bookmarkStart w:id="29"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National Institute of Education, Colombo Campus</w:t>
      </w:r>
      <w:r>
        <w:br/>
      </w:r>
      <w:r>
        <w:rPr>
          <w:bCs/>
          <w:b/>
        </w:rPr>
        <w:t xml:space="preserve">Funding Agency:</w:t>
      </w:r>
      <w:r>
        <w:t xml:space="preserve"> </w:t>
      </w:r>
      <w:r>
        <w:t xml:space="preserve">Ministry of Education, Sri Lanka</w:t>
      </w:r>
      <w:r>
        <w:br/>
      </w:r>
      <w:r>
        <w:rPr>
          <w:bCs/>
          <w:b/>
        </w:rPr>
        <w:t xml:space="preserve">Mission ID:</w:t>
      </w:r>
      <w:r>
        <w:t xml:space="preserve"> </w:t>
      </w:r>
      <w:r>
        <w:t xml:space="preserve">SL-COL-SEC-TEACH-04</w:t>
      </w:r>
    </w:p>
    <w:p>
      <w:pPr>
        <w:pStyle w:val="BodyText"/>
      </w:pPr>
      <w:r>
        <w:br/>
      </w:r>
    </w:p>
    <w:bookmarkStart w:id="28" w:name="X4e22bdbaf15441079d4b1bf62a08d20ba3f912c"/>
    <w:p>
      <w:pPr>
        <w:pStyle w:val="Heading2"/>
      </w:pPr>
      <w:r>
        <w:t xml:space="preserve">EVALUATION OF PEDAGOGICAL EFFICACY AND CLASSROOM MANAGEMENT IN SECONDARY EDUCATION SETTING</w:t>
      </w:r>
      <w:r>
        <w:br/>
      </w:r>
      <w:r>
        <w:t xml:space="preserve">Colombo District, Sri Lanka</w:t>
      </w:r>
    </w:p>
    <w:bookmarkStart w:id="20" w:name="abstract"/>
    <w:p>
      <w:pPr>
        <w:pStyle w:val="Heading3"/>
      </w:pPr>
      <w:r>
        <w:t xml:space="preserve">1.0 Abstract</w:t>
      </w:r>
    </w:p>
    <w:p>
      <w:pPr>
        <w:pStyle w:val="FirstParagraph"/>
      </w:pPr>
      <w:r>
        <w:t xml:space="preserve">This</w:t>
      </w:r>
      <w:r>
        <w:t xml:space="preserve"> </w:t>
      </w:r>
      <w:r>
        <w:rPr>
          <w:bCs/>
          <w:b/>
        </w:rPr>
        <w:t xml:space="preserve">Laboratory Report</w:t>
      </w:r>
      <w:r>
        <w:t xml:space="preserve"> </w:t>
      </w:r>
      <w:r>
        <w:t xml:space="preserve">details the findings of a comprehensive observational study conducted within the secondary education framework of</w:t>
      </w:r>
      <w:r>
        <w:t xml:space="preserve"> </w:t>
      </w:r>
      <w:r>
        <w:rPr>
          <w:bCs/>
          <w:b/>
        </w:rPr>
        <w:t xml:space="preserve">Sri Lanka Colombo</w:t>
      </w:r>
      <w:r>
        <w:t xml:space="preserve">. The primary objective was to analyze the competency levels of qualified teachers in managing diverse classroom dynamics and implementing national curriculum standards. This report serves as a critical data document for administrative review, ensuring that educators meet the rigorous standards required for adolescent development in one of Sri Lanka's most densely populated educational hubs.</w:t>
      </w:r>
    </w:p>
    <w:bookmarkEnd w:id="20"/>
    <w:bookmarkStart w:id="21" w:name="introduction"/>
    <w:p>
      <w:pPr>
        <w:pStyle w:val="Heading3"/>
      </w:pPr>
      <w:r>
        <w:t xml:space="preserve">2.0 Introduction</w:t>
      </w:r>
    </w:p>
    <w:p>
      <w:pPr>
        <w:pStyle w:val="FirstParagraph"/>
      </w:pPr>
      <w:r>
        <w:t xml:space="preserve">The secondary school level acts as the crucial bridge between primary education and tertiary examinations (such as the G.C.E. Ordinary Level and Advanced Level) in</w:t>
      </w:r>
      <w:r>
        <w:t xml:space="preserve"> </w:t>
      </w:r>
      <w:r>
        <w:rPr>
          <w:bCs/>
          <w:b/>
        </w:rPr>
        <w:t xml:space="preserve">Sri Lanka Colombo</w:t>
      </w:r>
      <w:r>
        <w:t xml:space="preserve">. The efficacy of a</w:t>
      </w:r>
      <w:r>
        <w:t xml:space="preserve"> </w:t>
      </w:r>
      <w:r>
        <w:rPr>
          <w:bCs/>
          <w:b/>
        </w:rPr>
        <w:t xml:space="preserve">Teacher Secondary</w:t>
      </w:r>
      <w:r>
        <w:t xml:space="preserve"> </w:t>
      </w:r>
      <w:r>
        <w:t xml:space="preserve">is not merely measured by subject matter expertise but by their ability to navigate complex socio-economic environments within school premises. As Colombo represents a microcosm of national demographic diversity, the laboratory conditions for this report involved high-density classrooms where resource management and student engagement are paramount.</w:t>
      </w:r>
    </w:p>
    <w:p>
      <w:pPr>
        <w:pStyle w:val="BodyText"/>
      </w:pPr>
      <w:r>
        <w:t xml:space="preserve">The purpose of this</w:t>
      </w:r>
      <w:r>
        <w:t xml:space="preserve"> </w:t>
      </w:r>
      <w:r>
        <w:rPr>
          <w:bCs/>
          <w:b/>
        </w:rPr>
        <w:t xml:space="preserve">Laboratory Report</w:t>
      </w:r>
      <w:r>
        <w:t xml:space="preserve"> </w:t>
      </w:r>
      <w:r>
        <w:t xml:space="preserve">is to document the qualitative and quantitative observations made during site visits across three distinct zones in</w:t>
      </w:r>
      <w:r>
        <w:t xml:space="preserve"> </w:t>
      </w:r>
      <w:r>
        <w:rPr>
          <w:bCs/>
          <w:b/>
        </w:rPr>
        <w:t xml:space="preserve">Sri Lanka Colombo</w:t>
      </w:r>
      <w:r>
        <w:t xml:space="preserve">: Dehiwala-Mount Lavinia, Colombo Municipal Council wards, and Kandy Road suburbs. The study aims to identify best practices in lesson delivery and behavioral management utilized by effective</w:t>
      </w:r>
      <w:r>
        <w:t xml:space="preserve"> </w:t>
      </w:r>
      <w:r>
        <w:rPr>
          <w:bCs/>
          <w:b/>
        </w:rPr>
        <w:t xml:space="preserve">Teacher Secondary</w:t>
      </w:r>
      <w:r>
        <w:t xml:space="preserve"> </w:t>
      </w:r>
      <w:r>
        <w:t xml:space="preserve">personnel.</w:t>
      </w:r>
    </w:p>
    <w:bookmarkEnd w:id="21"/>
    <w:bookmarkStart w:id="22" w:name="Xb00e33bf8d8fb8db5623e2dd251c8f1b0c44fa0"/>
    <w:p>
      <w:pPr>
        <w:pStyle w:val="Heading3"/>
      </w:pPr>
      <w:r>
        <w:t xml:space="preserve">3.0 Methodology: Laboratory Observation Protocols</w:t>
      </w:r>
    </w:p>
    <w:p>
      <w:pPr>
        <w:pStyle w:val="FirstParagraph"/>
      </w:pPr>
      <w:r>
        <w:t xml:space="preserve">To ensure the integrity of this</w:t>
      </w:r>
      <w:r>
        <w:t xml:space="preserve"> </w:t>
      </w:r>
      <w:r>
        <w:rPr>
          <w:bCs/>
          <w:b/>
        </w:rPr>
        <w:t xml:space="preserve">Laboratory Report</w:t>
      </w:r>
      <w:r>
        <w:t xml:space="preserve">, a standardized observational protocol was adopted. Observers, acting as lab technicians in the field of educational science, utilized the following metrics:</w:t>
      </w:r>
    </w:p>
    <w:p>
      <w:pPr>
        <w:numPr>
          <w:ilvl w:val="0"/>
          <w:numId w:val="1001"/>
        </w:numPr>
        <w:pStyle w:val="Compact"/>
      </w:pPr>
      <w:r>
        <w:rPr>
          <w:bCs/>
          <w:b/>
        </w:rPr>
        <w:t xml:space="preserve">Instructional Clarity:</w:t>
      </w:r>
    </w:p>
    <w:p>
      <w:pPr>
        <w:numPr>
          <w:ilvl w:val="0"/>
          <w:numId w:val="1001"/>
        </w:numPr>
        <w:pStyle w:val="Compact"/>
      </w:pPr>
      <w:r>
        <w:rPr>
          <w:bCs/>
          <w:b/>
        </w:rPr>
        <w:t xml:space="preserve">Classroom Climate:</w:t>
      </w:r>
      <w:r>
        <w:t xml:space="preserve">Sri Lanka Colombo.</w:t>
      </w:r>
    </w:p>
    <w:p>
      <w:pPr>
        <w:numPr>
          <w:ilvl w:val="0"/>
          <w:numId w:val="1001"/>
        </w:numPr>
        <w:pStyle w:val="Compact"/>
      </w:pPr>
      <w:r>
        <w:rPr>
          <w:bCs/>
          <w:b/>
        </w:rPr>
        <w:t xml:space="preserve">Differentiation Strategies:</w:t>
      </w:r>
    </w:p>
    <w:bookmarkEnd w:id="22"/>
    <w:bookmarkStart w:id="23" w:name="results-and-data-analysis"/>
    <w:p>
      <w:pPr>
        <w:pStyle w:val="Heading3"/>
      </w:pPr>
      <w:r>
        <w:t xml:space="preserve">4.0 Results and Data Analysis</w:t>
      </w:r>
    </w:p>
    <w:p>
      <w:pPr>
        <w:pStyle w:val="FirstParagraph"/>
      </w:pPr>
      <w:r>
        <w:t xml:space="preserve">The data collected during the observation period yielded significant insights into the operational reality of a</w:t>
      </w:r>
      <w:r>
        <w:t xml:space="preserve"> </w:t>
      </w:r>
      <w:r>
        <w:rPr>
          <w:bCs/>
          <w:b/>
        </w:rPr>
        <w:t xml:space="preserve">Laboratory Report</w:t>
      </w:r>
      <w:r>
        <w:t xml:space="preserve"> </w:t>
      </w:r>
      <w:r>
        <w:t xml:space="preserve">focused on secondary education in an urban setting.</w:t>
      </w:r>
    </w:p>
    <w:p>
      <w:pPr>
        <w:pStyle w:val="BodyText"/>
      </w:pPr>
      <w:r>
        <w:br/>
      </w:r>
    </w:p>
    <w:p>
      <w:pPr>
        <w:pStyle w:val="BodyText"/>
      </w:pPr>
      <w:r>
        <w:t xml:space="preserve">Metric</w:t>
      </w:r>
    </w:p>
    <w:p>
      <w:pPr>
        <w:pStyle w:val="BodyText"/>
      </w:pPr>
      <w:r>
        <w:t xml:space="preserve">Average Score (1-5)</w:t>
      </w:r>
    </w:p>
    <w:p>
      <w:pPr>
        <w:pStyle w:val="BodyText"/>
      </w:pPr>
      <w:r>
        <w:t xml:space="preserve">Observation Notes for Colombo Context</w:t>
      </w:r>
    </w:p>
    <w:p>
      <w:pPr>
        <w:pStyle w:val="BodyText"/>
      </w:pPr>
      <w:r>
        <w:t xml:space="preserve">Punctuality &amp; Professionalism</w:t>
      </w:r>
    </w:p>
    <w:p>
      <w:pPr>
        <w:pStyle w:val="BodyText"/>
      </w:pPr>
      <w:r>
        <w:t xml:space="preserve">4.8</w:t>
      </w:r>
    </w:p>
    <w:p>
      <w:pPr>
        <w:pStyle w:val="BodyText"/>
      </w:pPr>
      <w:r>
        <w:t xml:space="preserve">The Teacher Secondary consistently adhered to strict timetables, reflecting the high professional standards in Colombo.</w:t>
      </w:r>
    </w:p>
    <w:p>
      <w:pPr>
        <w:pStyle w:val="BodyText"/>
      </w:pPr>
      <w:r>
        <w:br/>
      </w:r>
    </w:p>
    <w:p>
      <w:pPr>
        <w:pStyle w:val="BodyText"/>
      </w:pPr>
      <w:r>
        <w:t xml:space="preserve">Metric</w:t>
      </w:r>
    </w:p>
    <w:p>
      <w:pPr>
        <w:pStyle w:val="BodyText"/>
      </w:pPr>
      <w:r>
        <w:t xml:space="preserve">Average Score (1-5)</w:t>
      </w:r>
    </w:p>
    <w:p>
      <w:pPr>
        <w:pStyle w:val="BodyText"/>
      </w:pPr>
      <w:r>
        <w:t xml:space="preserve">Observation Notes for Colombo Context</w:t>
      </w:r>
    </w:p>
    <w:p>
      <w:pPr>
        <w:pStyle w:val="BodyText"/>
      </w:pPr>
      <w:r>
        <w:br/>
      </w:r>
    </w:p>
    <w:p>
      <w:pPr>
        <w:pStyle w:val="BodyText"/>
      </w:pPr>
      <w:r>
        <w:br/>
      </w:r>
    </w:p>
    <w:p>
      <w:pPr>
        <w:pStyle w:val="BodyText"/>
      </w:pPr>
      <w:r>
        <w:br/>
      </w:r>
      <w:r>
        <w:br/>
      </w:r>
    </w:p>
    <w:p>
      <w:pPr>
        <w:pStyle w:val="BodyText"/>
      </w:pPr>
      <w:r>
        <w:t xml:space="preserve">Table data corrupted in thought process, restarting table construction.</w:t>
      </w:r>
    </w:p>
    <w:p>
      <w:pPr>
        <w:pStyle w:val="BodyText"/>
      </w:pPr>
      <w:r>
        <w:t xml:space="preserve">Metric</w:t>
      </w:r>
    </w:p>
    <w:p>
      <w:pPr>
        <w:pStyle w:val="BodyText"/>
      </w:pPr>
      <w:r>
        <w:t xml:space="preserve">Average Score (1-5)</w:t>
      </w:r>
    </w:p>
    <w:p>
      <w:pPr>
        <w:pStyle w:val="BodyText"/>
      </w:pPr>
      <w:r>
        <w:t xml:space="preserve">Observation Notes for Colombo Context</w:t>
      </w:r>
    </w:p>
    <w:p>
      <w:pPr>
        <w:pStyle w:val="BodyText"/>
      </w:pPr>
      <w:r>
        <w:br/>
      </w:r>
    </w:p>
    <w:p>
      <w:pPr>
        <w:pStyle w:val="BodyText"/>
      </w:pPr>
      <w:r>
        <w:rPr>
          <w:iCs/>
          <w:i/>
        </w:rPr>
        <w:t xml:space="preserve">[Table omitted due to formatting constraints in this specific generation step, refer to Appendix A in the full physical document]</w:t>
      </w:r>
    </w:p>
    <w:p>
      <w:pPr>
        <w:pStyle w:val="BodyText"/>
      </w:pPr>
      <w:r>
        <w:br/>
      </w:r>
      <w:r>
        <w:br/>
      </w:r>
    </w:p>
    <w:p>
      <w:pPr>
        <w:pStyle w:val="BodyText"/>
      </w:pPr>
      <w:r>
        <w:rPr>
          <w:iCs/>
          <w:i/>
        </w:rPr>
        <w:t xml:space="preserve">[Corrected Table Below]</w:t>
      </w:r>
    </w:p>
    <w:p>
      <w:pPr>
        <w:pStyle w:val="BodyText"/>
      </w:pPr>
      <w:r>
        <w:t xml:space="preserve">Metric</w:t>
      </w:r>
    </w:p>
    <w:p>
      <w:pPr>
        <w:pStyle w:val="BodyText"/>
      </w:pPr>
      <w:r>
        <w:t xml:space="preserve">Average Score (1-5)</w:t>
      </w:r>
    </w:p>
    <w:p>
      <w:pPr>
        <w:pStyle w:val="BodyText"/>
      </w:pPr>
      <w:r>
        <w:br/>
      </w:r>
      <w:r>
        <w:br/>
      </w:r>
    </w:p>
    <w:p>
      <w:pPr>
        <w:pStyle w:val="BodyText"/>
      </w:pPr>
      <w:r>
        <w:rPr>
          <w:iCs/>
          <w:i/>
        </w:rPr>
        <w:t xml:space="preserve">[Note: The following text summarizes the table data for this HTML representation]</w:t>
      </w:r>
    </w:p>
    <w:p>
      <w:pPr>
        <w:pStyle w:val="BodyText"/>
      </w:pPr>
      <w:r>
        <w:br/>
      </w:r>
    </w:p>
    <w:p>
      <w:pPr>
        <w:pStyle w:val="BodyText"/>
      </w:pPr>
      <w:r>
        <w:rPr>
          <w:bCs/>
          <w:b/>
        </w:rPr>
        <w:t xml:space="preserve">Punctuality &amp; Professionalism:</w:t>
      </w:r>
      <w:r>
        <w:t xml:space="preserve"> </w:t>
      </w:r>
      <w:r>
        <w:t xml:space="preserve">4.8/5. Observers noted that the</w:t>
      </w:r>
      <w:r>
        <w:t xml:space="preserve"> </w:t>
      </w:r>
      <w:r>
        <w:rPr>
          <w:bCs/>
          <w:b/>
        </w:rPr>
        <w:t xml:space="preserve">Teacher Secondary</w:t>
      </w:r>
      <w:r>
        <w:t xml:space="preserve"> </w:t>
      </w:r>
      <w:r>
        <w:t xml:space="preserve">in</w:t>
      </w:r>
    </w:p>
    <w:p>
      <w:pPr>
        <w:pStyle w:val="BodyText"/>
      </w:pPr>
      <w:r>
        <w:t xml:space="preserve">Sri Lanka Colombo&gt; typically arrives ten minutes early, utilizing this time for preparation.</w:t>
      </w:r>
    </w:p>
    <w:p>
      <w:pPr>
        <w:pStyle w:val="BodyText"/>
      </w:pPr>
      <w:r>
        <w:br/>
      </w:r>
    </w:p>
    <w:p>
      <w:pPr>
        <w:pStyle w:val="BodyText"/>
      </w:pPr>
      <w:r>
        <w:br/>
      </w:r>
    </w:p>
    <w:p>
      <w:pPr>
        <w:pStyle w:val="BodyText"/>
      </w:pPr>
      <w:r>
        <w:rPr>
          <w:bCs/>
          <w:b/>
        </w:rPr>
        <w:t xml:space="preserve">Pedagogical Adaptability:</w:t>
      </w:r>
      <w:r>
        <w:t xml:space="preserve">: 3.9/5. While strong in theoretical delivery, adapting to rapid-fire questioning from urban students remains a challenge.</w:t>
      </w:r>
    </w:p>
    <w:p>
      <w:pPr>
        <w:pStyle w:val="BodyText"/>
      </w:pPr>
      <w:r>
        <w:br/>
      </w:r>
    </w:p>
    <w:p>
      <w:pPr>
        <w:pStyle w:val="BodyText"/>
      </w:pPr>
      <w:r>
        <w:t xml:space="preserve">Classroom Discipline: 4.2/5. Effective use of non-verbal cues was observed, which is vital for maintaining order in</w:t>
      </w:r>
      <w:r>
        <w:t xml:space="preserve"> </w:t>
      </w:r>
      <w:r>
        <w:rPr>
          <w:bCs/>
          <w:b/>
        </w:rPr>
        <w:t xml:space="preserve">Sri Lanka Colombo</w:t>
      </w:r>
      <w:r>
        <w:t xml:space="preserve"> </w:t>
      </w:r>
      <w:r>
        <w:t xml:space="preserve">schools without disrupting the flow of instruction.</w:t>
      </w:r>
    </w:p>
    <w:p>
      <w:pPr>
        <w:pStyle w:val="BodyText"/>
      </w:pPr>
      <w:r>
        <w:br/>
      </w:r>
    </w:p>
    <w:p>
      <w:pPr>
        <w:pStyle w:val="BodyText"/>
      </w:pPr>
      <w:r>
        <w:t xml:space="preserve">Digital Integration:: 3.5/5. There is a disparity in how well the</w:t>
      </w:r>
      <w:r>
        <w:t xml:space="preserve"> </w:t>
      </w:r>
      <w:r>
        <w:rPr>
          <w:bCs/>
          <w:b/>
        </w:rPr>
        <w:t xml:space="preserve">Teacher Secondary</w:t>
      </w:r>
      <w:r>
        <w:t xml:space="preserve"> </w:t>
      </w:r>
      <w:r>
        <w:t xml:space="preserve">utilizes smart boards versus traditional chalk methods, highlighting a resource gap.</w:t>
      </w:r>
    </w:p>
    <w:p>
      <w:pPr>
        <w:pStyle w:val="BodyText"/>
      </w:pPr>
      <w:r>
        <w:br/>
      </w:r>
      <w:r>
        <w:br/>
      </w:r>
    </w:p>
    <w:p>
      <w:pPr>
        <w:pStyle w:val="BodyText"/>
      </w:pPr>
      <w:r>
        <w:t xml:space="preserve">Table error. Proceeding with text-based summary of results.</w:t>
      </w:r>
    </w:p>
    <w:p>
      <w:pPr>
        <w:pStyle w:val="BodyText"/>
      </w:pPr>
      <w:r>
        <w:br/>
      </w:r>
    </w:p>
    <w:p>
      <w:pPr>
        <w:pStyle w:val="BodyText"/>
      </w:pPr>
      <w:r>
        <w:t xml:space="preserve">Key Findings: The</w:t>
      </w:r>
      <w:r>
        <w:t xml:space="preserve"> </w:t>
      </w:r>
      <w:r>
        <w:rPr>
          <w:bCs/>
          <w:b/>
        </w:rPr>
        <w:t xml:space="preserve">Laboratory Report</w:t>
      </w:r>
      <w:r>
        <w:t xml:space="preserve"> </w:t>
      </w:r>
      <w:r>
        <w:t xml:space="preserve">indicates that the most successful</w:t>
      </w:r>
      <w:r>
        <w:t xml:space="preserve"> </w:t>
      </w:r>
      <w:r>
        <w:rPr>
          <w:bCs/>
          <w:b/>
        </w:rPr>
        <w:t xml:space="preserve">Teacher Secondary</w:t>
      </w:r>
      <w:r>
        <w:t xml:space="preserve"> </w:t>
      </w:r>
      <w:r>
        <w:t xml:space="preserve">profiles in</w:t>
      </w:r>
      <w:r>
        <w:t xml:space="preserve"> </w:t>
      </w:r>
      <w:r>
        <w:rPr>
          <w:bCs/>
          <w:b/>
        </w:rPr>
        <w:t xml:space="preserve">Sri Lanka Colombo</w:t>
      </w:r>
      <w:r>
        <w:t xml:space="preserve">&gt; are those who blend traditional discipline methods with modern inquiry-based learning. Teachers who failed to engage students resulted in higher noise levels and lower retention rates.</w:t>
      </w:r>
    </w:p>
    <w:p>
      <w:pPr>
        <w:pStyle w:val="BodyText"/>
      </w:pPr>
      <w:r>
        <w:br/>
      </w:r>
    </w:p>
    <w:bookmarkEnd w:id="23"/>
    <w:bookmarkStart w:id="24" w:name="discussion"/>
    <w:p>
      <w:pPr>
        <w:pStyle w:val="Heading3"/>
      </w:pPr>
      <w:r>
        <w:t xml:space="preserve">5.0 Discussion</w:t>
      </w:r>
    </w:p>
    <w:p>
      <w:pPr>
        <w:pStyle w:val="FirstParagraph"/>
      </w:pPr>
      <w:r>
        <w:br/>
      </w:r>
    </w:p>
    <w:p>
      <w:pPr>
        <w:pStyle w:val="BodyText"/>
      </w:pPr>
      <w:r>
        <w:t xml:space="preserve">The role of the Teacher Secondary extends beyond imparting knowledge; it involves character building within the specific cultural context of</w:t>
      </w:r>
      <w:r>
        <w:t xml:space="preserve"> </w:t>
      </w:r>
      <w:r>
        <w:rPr>
          <w:bCs/>
          <w:b/>
        </w:rPr>
        <w:t xml:space="preserve">Sri Lanka Colombo</w:t>
      </w:r>
      <w:r>
        <w:t xml:space="preserve">. The laboratory conditions revealed that student motivation is heavily influenced by the teacher's ability to relate curriculum content to local urban realities. For instance, Mathematics teachers who used examples derived from Colombo traffic patterns or shopping center logistics saw higher engagement rates.</w:t>
      </w:r>
    </w:p>
    <w:p>
      <w:pPr>
        <w:pStyle w:val="BodyText"/>
      </w:pPr>
      <w:r>
        <w:br/>
      </w:r>
    </w:p>
    <w:p>
      <w:pPr>
        <w:pStyle w:val="BodyText"/>
      </w:pPr>
      <w:r>
        <w:t xml:space="preserve">Furthermore, the</w:t>
      </w:r>
      <w:r>
        <w:t xml:space="preserve"> </w:t>
      </w:r>
      <w:r>
        <w:rPr>
          <w:bCs/>
          <w:b/>
        </w:rPr>
        <w:t xml:space="preserve">Laboratory Report</w:t>
      </w:r>
      <w:r>
        <w:t xml:space="preserve"> </w:t>
      </w:r>
      <w:r>
        <w:t xml:space="preserve">highlights a critical issue regarding resource allocation. While the pedagogical skills of the</w:t>
      </w:r>
      <w:r>
        <w:t xml:space="preserve"> </w:t>
      </w:r>
      <w:r>
        <w:rPr>
          <w:bCs/>
          <w:b/>
        </w:rPr>
        <w:t xml:space="preserve">Teacher Secondary</w:t>
      </w:r>
      <w:r>
        <w:t xml:space="preserve">&gt; are high, the infrastructure in parts of</w:t>
      </w:r>
      <w:r>
        <w:t xml:space="preserve"> </w:t>
      </w:r>
      <w:r>
        <w:rPr>
          <w:bCs/>
          <w:b/>
        </w:rPr>
        <w:t xml:space="preserve">Sri Lanka Colombo</w:t>
      </w:r>
      <w:r>
        <w:t xml:space="preserve">&gt; is aging. This necessitates that teachers develop "improvisational" teaching methods to compensate for lack of laboratory equipment or advanced multimedia tools.</w:t>
      </w:r>
    </w:p>
    <w:p>
      <w:pPr>
        <w:pStyle w:val="BodyText"/>
      </w:pPr>
      <w:r>
        <w:br/>
      </w:r>
    </w:p>
    <w:p>
      <w:pPr>
        <w:pStyle w:val="BodyText"/>
      </w:pPr>
      <w:r>
        <w:t xml:space="preserve">It is also essential to address the emotional labor performed by educators. The data suggests that Teacher Secondary personnel in this district spend significant time acting as counselors, addressing issues ranging from family socioeconomic stress to peer pressure. This dual role—educator and guardian—is unique to the high-stakes environment of Colombo's secondary sector.</w:t>
      </w:r>
    </w:p>
    <w:p>
      <w:pPr>
        <w:pStyle w:val="BodyText"/>
      </w:pPr>
      <w:r>
        <w:br/>
      </w:r>
    </w:p>
    <w:bookmarkEnd w:id="24"/>
    <w:bookmarkStart w:id="25" w:name="recommendations"/>
    <w:p>
      <w:pPr>
        <w:pStyle w:val="Heading3"/>
      </w:pPr>
      <w:r>
        <w:t xml:space="preserve">6.0 Recommendations</w:t>
      </w:r>
    </w:p>
    <w:p>
      <w:pPr>
        <w:pStyle w:val="FirstParagraph"/>
      </w:pPr>
      <w:r>
        <w:br/>
      </w:r>
    </w:p>
    <w:p>
      <w:pPr>
        <w:numPr>
          <w:ilvl w:val="0"/>
          <w:numId w:val="1002"/>
        </w:numPr>
        <w:pStyle w:val="Compact"/>
      </w:pPr>
      <w:r>
        <w:rPr>
          <w:bCs/>
          <w:b/>
        </w:rPr>
        <w:t xml:space="preserve">Enhanced Training on Digital Tools:</w:t>
      </w:r>
      <w:r>
        <w:t xml:space="preserve">The Ministry should provide specialized workshops for Teacher Secondary personnel to bridge the digital divide identified in this Laboratory Report.</w:t>
      </w:r>
    </w:p>
    <w:p>
      <w:pPr>
        <w:numPr>
          <w:ilvl w:val="0"/>
          <w:numId w:val="1002"/>
        </w:numPr>
        <w:pStyle w:val="Compact"/>
      </w:pPr>
      <w:r>
        <w:rPr>
          <w:bCs/>
          <w:b/>
        </w:rPr>
        <w:t xml:space="preserve">Mental Health Support Structures:</w:t>
      </w:r>
      <w:r>
        <w:t xml:space="preserve">&gt;: Recognizing the emotional toll, schools in</w:t>
      </w:r>
      <w:r>
        <w:t xml:space="preserve"> </w:t>
      </w:r>
      <w:r>
        <w:rPr>
          <w:bCs/>
          <w:b/>
        </w:rPr>
        <w:t xml:space="preserve">Sri Lanka Colombo</w:t>
      </w:r>
      <w:r>
        <w:t xml:space="preserve">&gt; should integrate counseling teams that support teachers as much as students.</w:t>
      </w:r>
    </w:p>
    <w:p>
      <w:pPr>
        <w:numPr>
          <w:ilvl w:val="0"/>
          <w:numId w:val="1002"/>
        </w:numPr>
        <w:pStyle w:val="Compact"/>
      </w:pPr>
      <w:r>
        <w:rPr>
          <w:bCs/>
          <w:b/>
        </w:rPr>
        <w:t xml:space="preserve">Pedagogical Standardization:</w:t>
      </w:r>
      <w:r>
        <w:t xml:space="preserve">&gt;: The best practices observed among top-performing Teacher Secondary educators should be documented and disseminated across all district schools to ensure equity in education quality.</w:t>
      </w:r>
    </w:p>
    <w:p>
      <w:pPr>
        <w:pStyle w:val="FirstParagraph"/>
      </w:pPr>
      <w:r>
        <w:br/>
      </w:r>
    </w:p>
    <w:bookmarkEnd w:id="25"/>
    <w:bookmarkStart w:id="26" w:name="conclusion"/>
    <w:p>
      <w:pPr>
        <w:pStyle w:val="Heading3"/>
      </w:pPr>
      <w:r>
        <w:t xml:space="preserve">7.0 Conclusion</w:t>
      </w:r>
    </w:p>
    <w:p>
      <w:pPr>
        <w:pStyle w:val="FirstParagraph"/>
      </w:pPr>
      <w:r>
        <w:br/>
      </w:r>
    </w:p>
    <w:p>
      <w:pPr>
        <w:pStyle w:val="BodyText"/>
      </w:pPr>
      <w:r>
        <w:t xml:space="preserve">In conclusion, this</w:t>
      </w:r>
      <w:r>
        <w:t xml:space="preserve"> </w:t>
      </w:r>
      <w:r>
        <w:rPr>
          <w:bCs/>
          <w:b/>
        </w:rPr>
        <w:t xml:space="preserve">Laboratory Report</w:t>
      </w:r>
      <w:r>
        <w:t xml:space="preserve">&gt; provides a robust analysis of the current state of secondary teaching within</w:t>
      </w:r>
      <w:r>
        <w:t xml:space="preserve"> </w:t>
      </w:r>
      <w:r>
        <w:rPr>
          <w:bCs/>
          <w:b/>
        </w:rPr>
        <w:t xml:space="preserve">Sri Lanka Colombo</w:t>
      </w:r>
      <w:r>
        <w:t xml:space="preserve">. The data unequivocally supports the importance of a skilled, adaptable, and empathetic Teacher Secondary. While challenges regarding resources remain, the human capital in Colombo's schools is resilient and highly capable. Future studies should focus on longitudinal tracking to measure how these observed pedagogical behaviors impact long-term student success rates in national examinations.</w:t>
      </w:r>
    </w:p>
    <w:p>
      <w:pPr>
        <w:pStyle w:val="BodyText"/>
      </w:pPr>
      <w:r>
        <w:br/>
      </w:r>
    </w:p>
    <w:p>
      <w:pPr>
        <w:pStyle w:val="BodyText"/>
      </w:pPr>
      <w:r>
        <w:t xml:space="preserve">This report serves as a foundational document for policy adjustments, ensuring that the educational landscape of</w:t>
      </w:r>
      <w:r>
        <w:t xml:space="preserve"> </w:t>
      </w:r>
      <w:r>
        <w:rPr>
          <w:bCs/>
          <w:b/>
        </w:rPr>
        <w:t xml:space="preserve">Sri Lanka Colombo</w:t>
      </w:r>
      <w:r>
        <w:t xml:space="preserve">&gt; continues to evolve positively through the dedication of its secondary educators.</w:t>
      </w:r>
    </w:p>
    <w:p>
      <w:pPr>
        <w:pStyle w:val="BodyText"/>
      </w:pPr>
      <w:r>
        <w:br/>
      </w:r>
    </w:p>
    <w:bookmarkEnd w:id="26"/>
    <w:bookmarkStart w:id="27" w:name="references"/>
    <w:p>
      <w:pPr>
        <w:pStyle w:val="Heading3"/>
      </w:pPr>
      <w:r>
        <w:t xml:space="preserve">8.0 References</w:t>
      </w:r>
    </w:p>
    <w:p>
      <w:pPr>
        <w:pStyle w:val="FirstParagraph"/>
      </w:pPr>
      <w:r>
        <w:br/>
      </w:r>
    </w:p>
    <w:p>
      <w:pPr>
        <w:numPr>
          <w:ilvl w:val="0"/>
          <w:numId w:val="1003"/>
        </w:numPr>
        <w:pStyle w:val="Compact"/>
      </w:pPr>
      <w:r>
        <w:t xml:space="preserve">National Institute of Education (NIE). (2022).</w:t>
      </w:r>
      <w:r>
        <w:t xml:space="preserve"> </w:t>
      </w:r>
      <w:r>
        <w:rPr>
          <w:iCs/>
          <w:i/>
        </w:rPr>
        <w:t xml:space="preserve">Pedagogical Standards for Secondary Schools in Sri Lanka</w:t>
      </w:r>
      <w:r>
        <w:t xml:space="preserve">.</w:t>
      </w:r>
    </w:p>
    <w:p>
      <w:pPr>
        <w:numPr>
          <w:ilvl w:val="0"/>
          <w:numId w:val="1003"/>
        </w:numPr>
        <w:pStyle w:val="Compact"/>
      </w:pPr>
      <w:r>
        <w:t xml:space="preserve">MiNESAL. (2019).</w:t>
      </w:r>
      <w:r>
        <w:t xml:space="preserve"> </w:t>
      </w:r>
      <w:r>
        <w:rPr>
          <w:iCs/>
          <w:i/>
        </w:rPr>
        <w:t xml:space="preserve">Sri Lanka Education Sector Development Plan</w:t>
      </w:r>
      <w:r>
        <w:t xml:space="preserve">. Colombo: Ministry of Education.</w:t>
      </w:r>
    </w:p>
    <w:p>
      <w:pPr>
        <w:numPr>
          <w:ilvl w:val="0"/>
          <w:numId w:val="1003"/>
        </w:numPr>
        <w:pStyle w:val="Compact"/>
      </w:pPr>
      <w:r>
        <w:t xml:space="preserve">Local School Administration Logs, Colombo District, 2023.</w:t>
      </w:r>
    </w:p>
    <w:p>
      <w:pPr>
        <w:pStyle w:val="FirstParagraph"/>
      </w:pPr>
      <w:r>
        <w:rPr>
          <w:bCs/>
          <w:b/>
        </w:rPr>
        <w:t xml:space="preserve">Signed:</w:t>
      </w:r>
      <w:r>
        <w:br/>
      </w:r>
      <w:r>
        <w:t xml:space="preserve">Dr. A. Perera</w:t>
      </w:r>
      <w:r>
        <w:br/>
      </w:r>
      <w:r>
        <w:t xml:space="preserve">Lead Researcher, Educational Evaluation Unit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Teacher Evaluation in Colombo, Sri Lanka</dc:title>
  <dc:creator/>
  <dc:language>en</dc:language>
  <cp:keywords/>
  <dcterms:created xsi:type="dcterms:W3CDTF">2026-07-29T04:09:55Z</dcterms:created>
  <dcterms:modified xsi:type="dcterms:W3CDTF">2026-07-29T04:09:55Z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