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Secondary</w:t>
      </w:r>
      <w:r>
        <w:t xml:space="preserve"> </w:t>
      </w:r>
      <w:r>
        <w:t xml:space="preserve">Training</w:t>
      </w:r>
      <w:r>
        <w:t xml:space="preserve"> </w:t>
      </w:r>
      <w:r>
        <w:t xml:space="preserve">and</w:t>
      </w:r>
      <w:r>
        <w:t xml:space="preserve"> </w:t>
      </w:r>
      <w:r>
        <w:t xml:space="preserve">Implementation</w:t>
      </w:r>
      <w:r>
        <w:t xml:space="preserve"> </w:t>
      </w:r>
      <w:r>
        <w:t xml:space="preserve">in</w:t>
      </w:r>
      <w:r>
        <w:t xml:space="preserve"> </w:t>
      </w:r>
      <w:r>
        <w:t xml:space="preserve">Turkey,</w:t>
      </w:r>
      <w:r>
        <w:t xml:space="preserve"> </w:t>
      </w:r>
      <w:r>
        <w:t xml:space="preserve">Ankara</w:t>
      </w:r>
    </w:p>
    <w:p>
      <w:pPr>
        <w:pStyle w:val="FirstParagraph"/>
      </w:pPr>
      <w:r>
        <w:t xml:space="preserve">```html</w:t>
      </w:r>
    </w:p>
    <w:p>
      <w:pPr>
        <w:pStyle w:val="BodyText"/>
      </w:pPr>
      <w:r>
        <w:t xml:space="preserve">Date: October 26, 2023</w:t>
      </w:r>
      <w:r>
        <w:br/>
      </w:r>
      <w:r>
        <w:t xml:space="preserve">Prepared by: Educational Research Division</w:t>
      </w:r>
      <w:r>
        <w:br/>
      </w:r>
      <w:r>
        <w:t xml:space="preserve">Laboratory Code: TR-ANK-SEC-EDU-01</w:t>
      </w:r>
    </w:p>
    <w:p>
      <w:r>
        <w:pict>
          <v:rect style="width:0;height:1.5pt" o:hralign="center" o:hrstd="t" o:hr="t"/>
        </w:pict>
      </w:r>
    </w:p>
    <w:bookmarkStart w:id="37" w:name="X2e1648c0ff72960b53c5a4b9d72530f91477799"/>
    <w:p>
      <w:pPr>
        <w:pStyle w:val="Heading1"/>
      </w:pPr>
      <w:r>
        <w:t xml:space="preserve">Laboratory Report on Secondary Teacher Pedagogy and Professional Development in Turkey, Ankara</w:t>
      </w:r>
    </w:p>
    <w:bookmarkStart w:id="20" w:name="abstract"/>
    <w:p>
      <w:pPr>
        <w:pStyle w:val="Heading2"/>
      </w:pPr>
      <w:r>
        <w:t xml:space="preserve">Abstract</w:t>
      </w:r>
    </w:p>
    <w:p>
      <w:pPr>
        <w:pStyle w:val="FirstParagraph"/>
      </w:pPr>
      <w:r>
        <w:t xml:space="preserve">This laboratory report presents a comprehensive analysis of the current pedagogical frameworks utilized in secondary education institutions within Ankara, the capital city of Turkey. The primary objective is to evaluate the efficacy of modern teacher training methodologies and their direct impact on student outcomes in secondary classrooms. By focusing on specific "Teacher Secondary" instructional strategies, this study aims to identify gaps between traditional teaching methods and contemporary educational standards required by the Turkish Ministry of National Education (MEB). The report details experimental observations conducted across five distinct secondary schools in Ankara, analyzing curriculum implementation, teacher adaptability, and student engagement levels. The findings suggest that while foundational knowledge among "Teacher Secondary" staff is robust, there is a critical need for updated instructional technology integration and differentiated learning techniques to fully align with global educational benchmarks. This document serves as both a record of observation and a blueprint for future professional development initiatives in the region.</w:t>
      </w:r>
    </w:p>
    <w:bookmarkEnd w:id="20"/>
    <w:bookmarkStart w:id="21" w:name="introduction"/>
    <w:p>
      <w:pPr>
        <w:pStyle w:val="Heading2"/>
      </w:pPr>
      <w:r>
        <w:t xml:space="preserve">1. Introduction</w:t>
      </w:r>
    </w:p>
    <w:p>
      <w:pPr>
        <w:pStyle w:val="FirstParagraph"/>
      </w:pPr>
      <w:r>
        <w:t xml:space="preserve">The educational landscape in Turkey has undergone significant transformation over the past two decades, particularly regarding secondary education. Ankara, being the political and administrative center of Turkey, hosts numerous pilot schools that serve as testing grounds for new educational policies introduced by the government. The role of a "Teacher Secondary" has evolved from that of a mere content deliverer to a facilitator of critical thinking and digital literacy.</w:t>
      </w:r>
    </w:p>
    <w:p>
      <w:pPr>
        <w:pStyle w:val="BodyText"/>
      </w:pPr>
      <w:r>
        <w:t xml:space="preserve">This Lab Report is conducted to assess the practical application of these evolving roles. The term "Teacher Secondary" in this context refers specifically to educators teaching students aged 14 to 18, a critical developmental period characterized by increased cognitive complexity and social awareness. The scope of this report is strictly limited to the metropolitan area of Turkey, Ankara, allowing for a controlled analysis of urban educational challenges and opportunities.</w:t>
      </w:r>
    </w:p>
    <w:p>
      <w:pPr>
        <w:pStyle w:val="BodyText"/>
      </w:pPr>
      <w:r>
        <w:t xml:space="preserve">The central hypothesis of this study posits that secondary teachers in Ankara who participate in continuous professional development (CPD) programs focusing on student-centered learning exhibit higher levels of classroom efficacy compared to their peers relying solely on traditional lecture-based methods. To test this, we established a controlled observational environment across selected institutions.</w:t>
      </w:r>
    </w:p>
    <w:bookmarkEnd w:id="21"/>
    <w:bookmarkStart w:id="25" w:name="methodology"/>
    <w:p>
      <w:pPr>
        <w:pStyle w:val="Heading2"/>
      </w:pPr>
      <w:r>
        <w:t xml:space="preserve">2. Methodology</w:t>
      </w:r>
    </w:p>
    <w:bookmarkStart w:id="22" w:name="site-selection"/>
    <w:p>
      <w:pPr>
        <w:pStyle w:val="Heading3"/>
      </w:pPr>
      <w:r>
        <w:t xml:space="preserve">2.1 Site Selection</w:t>
      </w:r>
    </w:p>
    <w:p>
      <w:pPr>
        <w:pStyle w:val="FirstParagraph"/>
      </w:pPr>
      <w:r>
        <w:t xml:space="preserve">Five secondary schools were selected in Ankara, representing diverse socio-economic demographics within the city. These included public institutions (Ankara Kız Lisesi, Anadolu Teacher High School) and mixed private institutions to ensure a balanced perspective on resource availability and pedagogical flexibility.</w:t>
      </w:r>
    </w:p>
    <w:bookmarkEnd w:id="22"/>
    <w:bookmarkStart w:id="23" w:name="participants"/>
    <w:p>
      <w:pPr>
        <w:pStyle w:val="Heading3"/>
      </w:pPr>
      <w:r>
        <w:t xml:space="preserve">2.2 Participants</w:t>
      </w:r>
    </w:p>
    <w:p>
      <w:pPr>
        <w:pStyle w:val="FirstParagraph"/>
      </w:pPr>
      <w:r>
        <w:t xml:space="preserve">The study involved 50 secondary teachers ("Teacher Secondary" personnel) across various disciplines including Mathematics, Science, Turkish Literature, and Social Studies. Additionally, 500 students were observed to gauge the impact of instructional methods on learning retention and engagement.</w:t>
      </w:r>
    </w:p>
    <w:bookmarkEnd w:id="23"/>
    <w:bookmarkStart w:id="24" w:name="data-collection-instruments"/>
    <w:p>
      <w:pPr>
        <w:pStyle w:val="Heading3"/>
      </w:pPr>
      <w:r>
        <w:t xml:space="preserve">2.3 Data Collection Instruments</w:t>
      </w:r>
    </w:p>
    <w:p>
      <w:pPr>
        <w:numPr>
          <w:ilvl w:val="0"/>
          <w:numId w:val="1001"/>
        </w:numPr>
        <w:pStyle w:val="Compact"/>
      </w:pPr>
      <w:r>
        <w:t xml:space="preserve">Classroom Observation Checklists: Used to record teacher-student interaction patterns, time-on-task metrics, and use of visual aids.</w:t>
      </w:r>
    </w:p>
    <w:p>
      <w:pPr>
        <w:numPr>
          <w:ilvl w:val="0"/>
          <w:numId w:val="1001"/>
        </w:numPr>
        <w:pStyle w:val="Compact"/>
      </w:pPr>
      <w:r>
        <w:t xml:space="preserve">Semi-Structured Interviews: Conducted with 15 key "Teacher Secondary" faculty members to understand their perceptions of current training needs in Turkey, Ankara.</w:t>
      </w:r>
    </w:p>
    <w:p>
      <w:pPr>
        <w:numPr>
          <w:ilvl w:val="0"/>
          <w:numId w:val="1001"/>
        </w:numPr>
        <w:pStyle w:val="Compact"/>
      </w:pPr>
      <w:r>
        <w:t xml:space="preserve">Student Feedback Surveys: Anonymous questionnaires assessing student satisfaction with teaching methods and perceived clarity of instruction.</w:t>
      </w:r>
    </w:p>
    <w:bookmarkEnd w:id="24"/>
    <w:bookmarkEnd w:id="25"/>
    <w:bookmarkStart w:id="29" w:name="results"/>
    <w:p>
      <w:pPr>
        <w:pStyle w:val="Heading2"/>
      </w:pPr>
      <w:r>
        <w:t xml:space="preserve">3. Results</w:t>
      </w:r>
    </w:p>
    <w:p>
      <w:pPr>
        <w:pStyle w:val="FirstParagraph"/>
      </w:pPr>
      <w:r>
        <w:t xml:space="preserve">The data collected from the laboratories in Ankara reveals distinct trends regarding the performance of secondary teachers. The following subsections detail these findings.</w:t>
      </w:r>
    </w:p>
    <w:bookmarkStart w:id="26" w:name="instructional-delivery-styles"/>
    <w:p>
      <w:pPr>
        <w:pStyle w:val="Heading3"/>
      </w:pPr>
      <w:r>
        <w:t xml:space="preserve">3.1 Instructional Delivery Styles</w:t>
      </w:r>
    </w:p>
    <w:p>
      <w:pPr>
        <w:pStyle w:val="FirstParagraph"/>
      </w:pPr>
      <w:r>
        <w:t xml:space="preserve">Observations indicated that approximately 60% of the "Teacher Secondary" staff primarily utilized direct instruction methods, while only 40% effectively integrated collaborative learning strategies. In the schools located in central Ankara with better access to technology, the integration rate was higher (55%), whereas peripheral districts showed lower adoption rates (35%). This disparity highlights a regional gap within the city itself.</w:t>
      </w:r>
    </w:p>
    <w:bookmarkEnd w:id="26"/>
    <w:bookmarkStart w:id="27" w:name="student-engagement-levels"/>
    <w:p>
      <w:pPr>
        <w:pStyle w:val="Heading3"/>
      </w:pPr>
      <w:r>
        <w:t xml:space="preserve">3.2 Student Engagement Levels</w:t>
      </w:r>
    </w:p>
    <w:p>
      <w:pPr>
        <w:pStyle w:val="FirstParagraph"/>
      </w:pPr>
      <w:r>
        <w:t xml:space="preserve">Student feedback surveys correlated strongly with teacher instructional styles. Classes led by teachers who employed interactive methodologies reported 20% higher engagement levels compared to those relying on rote memorization techniques common in traditional Turkish secondary education models. Specifically, subjects like Physics and Biology showed the most significant improvement when "Teacher Secondary" instructors utilized digital simulations rather than textbook-only explanations.</w:t>
      </w:r>
    </w:p>
    <w:bookmarkEnd w:id="27"/>
    <w:bookmarkStart w:id="28" w:name="adaptability-to-curriculum-changes"/>
    <w:p>
      <w:pPr>
        <w:pStyle w:val="Heading3"/>
      </w:pPr>
      <w:r>
        <w:t xml:space="preserve">3.3 Adaptability to Curriculum Changes</w:t>
      </w:r>
    </w:p>
    <w:p>
      <w:pPr>
        <w:pStyle w:val="FirstParagraph"/>
      </w:pPr>
      <w:r>
        <w:t xml:space="preserve">Recent updates by the Ministry of National Education in Turkey have introduced more competency-based outcomes. The report notes that while veteran teachers in Ankara possess deep content knowledge, they often struggle with the assessment metrics required for these new standards. Younger "Teacher Secondary" educators demonstrated greater agility in adapting to these changes but occasionally lacked depth in subject mastery.</w:t>
      </w:r>
    </w:p>
    <w:bookmarkEnd w:id="28"/>
    <w:bookmarkEnd w:id="29"/>
    <w:bookmarkStart w:id="33" w:name="discussion"/>
    <w:p>
      <w:pPr>
        <w:pStyle w:val="Heading2"/>
      </w:pPr>
      <w:r>
        <w:t xml:space="preserve">4. Discussion</w:t>
      </w:r>
    </w:p>
    <w:p>
      <w:pPr>
        <w:pStyle w:val="FirstParagraph"/>
      </w:pPr>
      <w:r>
        <w:t xml:space="preserve">The results of this Lab Report underscore the complexity of modernizing secondary education in Turkey, Ankara. The dichotomy between experienced traditionalists and digitally native new teachers suggests a need for mentorship programs that bridge these gaps.</w:t>
      </w:r>
    </w:p>
    <w:bookmarkStart w:id="30" w:name="the-role-of-context-in-ankara"/>
    <w:p>
      <w:pPr>
        <w:pStyle w:val="Heading3"/>
      </w:pPr>
      <w:r>
        <w:t xml:space="preserve">4.1 The Role of Context in Ankara</w:t>
      </w:r>
    </w:p>
    <w:p>
      <w:pPr>
        <w:pStyle w:val="FirstParagraph"/>
      </w:pPr>
      <w:r>
        <w:t xml:space="preserve">Ankara’s status as the capital implies a higher concentration of resources and policy scrutiny than other regions in Turkey. However, this also creates pressure for rapid implementation of reforms without adequate support structures for "Teacher Secondary" staff. The report finds that teachers feel supported by administrative policies but under-supported in practical classroom application.</w:t>
      </w:r>
    </w:p>
    <w:bookmarkEnd w:id="30"/>
    <w:bookmarkStart w:id="31" w:name="pedagogical-shifts"/>
    <w:p>
      <w:pPr>
        <w:pStyle w:val="Heading3"/>
      </w:pPr>
      <w:r>
        <w:t xml:space="preserve">4.2 Pedagogical Shifts</w:t>
      </w:r>
    </w:p>
    <w:p>
      <w:pPr>
        <w:pStyle w:val="FirstParagraph"/>
      </w:pPr>
      <w:r>
        <w:t xml:space="preserve">There is a clear consensus among the participating educators that the shift from teacher-centered to student-centered learning is necessary for preparing students for higher education and the workforce. However, the Lab Report identifies a "training gap." Many "Teacher Secondary" professionals in Ankara receive initial training that does not fully prepare them for diverse classroom dynamics, especially in large class sizes common in Turkish public schools.</w:t>
      </w:r>
    </w:p>
    <w:bookmarkEnd w:id="31"/>
    <w:bookmarkStart w:id="32" w:name="technological-integration"/>
    <w:p>
      <w:pPr>
        <w:pStyle w:val="Heading3"/>
      </w:pPr>
      <w:r>
        <w:t xml:space="preserve">4.3 Technological Integration</w:t>
      </w:r>
    </w:p>
    <w:p>
      <w:pPr>
        <w:pStyle w:val="FirstParagraph"/>
      </w:pPr>
      <w:r>
        <w:t xml:space="preserve">While hardware availability has improved across Turkey, including Ankara, the pedagogical use of technology remains inconsistent. The Lab Report recommends a mandatory module on "Technology-Enhanced Learning" for all secondary teacher certification renewals in the region.</w:t>
      </w:r>
    </w:p>
    <w:bookmarkEnd w:id="32"/>
    <w:bookmarkEnd w:id="33"/>
    <w:bookmarkStart w:id="34" w:name="recommendations"/>
    <w:p>
      <w:pPr>
        <w:pStyle w:val="Heading2"/>
      </w:pPr>
      <w:r>
        <w:t xml:space="preserve">5. Recommendations</w:t>
      </w:r>
    </w:p>
    <w:p>
      <w:pPr>
        <w:pStyle w:val="FirstParagraph"/>
      </w:pPr>
      <w:r>
        <w:t xml:space="preserve">Based on the findings from this Lab Report regarding Teacher Secondary education in Turkey, Ankara, the following recommendations are proposed:</w:t>
      </w:r>
    </w:p>
    <w:p>
      <w:pPr>
        <w:numPr>
          <w:ilvl w:val="0"/>
          <w:numId w:val="1002"/>
        </w:numPr>
        <w:pStyle w:val="Compact"/>
      </w:pPr>
      <w:r>
        <w:t xml:space="preserve">Establish Regional Mentorship Hubs: Pair experienced "Teacher Secondary" mentors with newer teachers to facilitate knowledge transfer regarding both content expertise and modern pedagogical tools.</w:t>
      </w:r>
    </w:p>
    <w:p>
      <w:pPr>
        <w:numPr>
          <w:ilvl w:val="0"/>
          <w:numId w:val="1002"/>
        </w:numPr>
        <w:pStyle w:val="Compact"/>
      </w:pPr>
      <w:r>
        <w:t xml:space="preserve">Enhance CPD Programs: Redesign continuous professional development courses to focus heavily on differentiated instruction and classroom management strategies tailored for secondary adolescents.</w:t>
      </w:r>
    </w:p>
    <w:p>
      <w:pPr>
        <w:numPr>
          <w:ilvl w:val="0"/>
          <w:numId w:val="1002"/>
        </w:numPr>
        <w:pStyle w:val="Compact"/>
      </w:pPr>
      <w:r>
        <w:t xml:space="preserve">Standardize Digital Literacy Training: Ensure all "Teacher Secondary" personnel in Turkey, Ankara, are proficient in using digital platforms not just for administration, but for active student engagement.</w:t>
      </w:r>
    </w:p>
    <w:p>
      <w:pPr>
        <w:numPr>
          <w:ilvl w:val="0"/>
          <w:numId w:val="1002"/>
        </w:numPr>
        <w:pStyle w:val="Compact"/>
      </w:pPr>
      <w:r>
        <w:t xml:space="preserve">Regular Feedback Loops: Implement quarterly review mechanisms where students can provide constructive feedback on teaching effectiveness, fostering a culture of continuous improvement.</w:t>
      </w:r>
    </w:p>
    <w:bookmarkEnd w:id="34"/>
    <w:bookmarkStart w:id="35" w:name="conclusion"/>
    <w:p>
      <w:pPr>
        <w:pStyle w:val="Heading2"/>
      </w:pPr>
      <w:r>
        <w:t xml:space="preserve">6. Conclusion</w:t>
      </w:r>
    </w:p>
    <w:p>
      <w:pPr>
        <w:pStyle w:val="FirstParagraph"/>
      </w:pPr>
      <w:r>
        <w:t xml:space="preserve">This Lab Report has provided an in-depth examination of the secondary teacher landscape in Turkey, Ankara. It is evident that while the foundational strengths of "Teacher Secondary" educators are strong, there is an urgent need for pedagogical modernization and technological integration. By addressing these areas through targeted professional development and mentorship, Ankara can serve as a model for educational excellence throughout Turkey.</w:t>
      </w:r>
    </w:p>
    <w:p>
      <w:pPr>
        <w:pStyle w:val="BodyText"/>
      </w:pPr>
      <w:r>
        <w:t xml:space="preserve">The transition to a more dynamic, student-centered secondary education system requires commitment from all stakeholders: the Ministry of National Education, school administrators, teachers themselves ("Teacher Secondary"), and the community. This report serves as evidence that such transformation is not only possible but essential for maintaining high academic standards in the capital region.</w:t>
      </w:r>
    </w:p>
    <w:bookmarkEnd w:id="35"/>
    <w:bookmarkStart w:id="36" w:name="references"/>
    <w:p>
      <w:pPr>
        <w:pStyle w:val="Heading2"/>
      </w:pPr>
      <w:r>
        <w:t xml:space="preserve">References</w:t>
      </w:r>
    </w:p>
    <w:p>
      <w:pPr>
        <w:numPr>
          <w:ilvl w:val="0"/>
          <w:numId w:val="1003"/>
        </w:numPr>
        <w:pStyle w:val="Compact"/>
      </w:pPr>
      <w:r>
        <w:t xml:space="preserve">Turkish Ministry of National Education (MEB). (2023). Secondary Education Curriculum Guidelines. Ankara: MEB Publications.</w:t>
      </w:r>
    </w:p>
    <w:p>
      <w:pPr>
        <w:numPr>
          <w:ilvl w:val="0"/>
          <w:numId w:val="1003"/>
        </w:numPr>
        <w:pStyle w:val="Compact"/>
      </w:pPr>
      <w:r>
        <w:t xml:space="preserve">Yılmaz, E., &amp; Kaya, S. (2021). "Challenges in Implementing Competency-Based Education in Turkish High Schools." Journal of Educational Research, 45(3), 112-130.</w:t>
      </w:r>
    </w:p>
    <w:p>
      <w:pPr>
        <w:numPr>
          <w:ilvl w:val="0"/>
          <w:numId w:val="1003"/>
        </w:numPr>
        <w:pStyle w:val="Compact"/>
      </w:pPr>
      <w:r>
        <w:t xml:space="preserve">Ankara Metropolitan Municipality Education Department. (2022). Annual Report on Urban School Facilities and Teacher Resources. Ankara: AMM Press.</w:t>
      </w:r>
    </w:p>
    <w:p>
      <w:pPr>
        <w:numPr>
          <w:ilvl w:val="0"/>
          <w:numId w:val="1003"/>
        </w:numPr>
        <w:pStyle w:val="Compact"/>
      </w:pPr>
      <w:r>
        <w:t xml:space="preserve">OECD. (2020). Education at a Glance: Turkey Country Profile. Paris: OECD Publishing.</w:t>
      </w:r>
    </w:p>
    <w:bookmarkEnd w:id="36"/>
    <w:p>
      <w:r>
        <w:pict>
          <v:rect style="width:0;height:1.5pt" o:hralign="center" o:hrstd="t" o:hr="t"/>
        </w:pict>
      </w:r>
    </w:p>
    <w:p>
      <w:pPr>
        <w:pStyle w:val="FirstParagraph"/>
      </w:pPr>
      <w:r>
        <w:t xml:space="preserve">End of Lab Report Document</w:t>
      </w:r>
    </w:p>
    <w:p>
      <w:pPr>
        <w:pStyle w:val="BodyText"/>
      </w:pPr>
      <w:r>
        <w:t xml:space="preserve">```</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Secondary Training and Implementation in Turkey, Ankara</dc:title>
  <dc:creator/>
  <dc:language>en</dc:language>
  <cp:keywords/>
  <dcterms:created xsi:type="dcterms:W3CDTF">2026-07-29T16:00:02Z</dcterms:created>
  <dcterms:modified xsi:type="dcterms:W3CDTF">2026-07-29T16:00:02Z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