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Uganda</w:t>
      </w:r>
      <w:r>
        <w:t xml:space="preserve"> </w:t>
      </w:r>
      <w:r>
        <w:t xml:space="preserve">Kampala</w:t>
      </w:r>
    </w:p>
    <w:bookmarkStart w:id="20" w:name="pedagogical-observation-lab-report"/>
    <w:p>
      <w:pPr>
        <w:pStyle w:val="Heading1"/>
      </w:pPr>
      <w:r>
        <w:t xml:space="preserve">PEDAGOGICAL OBSERVATION LAB REPORT</w:t>
      </w:r>
    </w:p>
    <w:p>
      <w:pPr>
        <w:pStyle w:val="FirstParagraph"/>
      </w:pPr>
      <w:r>
        <w:rPr>
          <w:bCs/>
          <w:b/>
        </w:rPr>
        <w:t xml:space="preserve">Institution:</w:t>
      </w:r>
      <w:r>
        <w:t xml:space="preserve"> </w:t>
      </w:r>
      <w:r>
        <w:t xml:space="preserve">Department of Educational Studies, Makerere University Affiliated Research Wing</w:t>
      </w:r>
      <w:r>
        <w:br/>
      </w:r>
      <w:r>
        <w:rPr>
          <w:bCs/>
          <w:b/>
        </w:rPr>
        <w:t xml:space="preserve">Date of Observation:</w:t>
      </w:r>
      <w:r>
        <w:t xml:space="preserve"> </w:t>
      </w:r>
      <w:r>
        <w:t xml:space="preserve">October 24, 2023</w:t>
      </w:r>
      <w:r>
        <w:br/>
      </w:r>
    </w:p>
    <w:p>
      <w:pPr>
        <w:pStyle w:val="BodyText"/>
      </w:pPr>
      <w:r>
        <w:t xml:space="preserve">Subject Area:</w:t>
      </w:r>
      <w:r>
        <w:t xml:space="preserve"> </w:t>
      </w:r>
      <w:r>
        <w:rPr>
          <w:bCs/>
          <w:b/>
        </w:rPr>
        <w:t xml:space="preserve">Status</w:t>
      </w:r>
      <w:r>
        <w:t xml:space="preserve">: Final Submission</w:t>
      </w:r>
    </w:p>
    <w:bookmarkEnd w:id="20"/>
    <w:bookmarkStart w:id="21" w:name="X4b42b57be2048fe62cd5609b2d70378e3dc85ee"/>
    <w:p>
      <w:pPr>
        <w:pStyle w:val="Heading2"/>
      </w:pPr>
      <w:r>
        <w:t xml:space="preserve">I. Executive Summary and Introduction to the Context in Uganda Kampala</w:t>
      </w:r>
    </w:p>
    <w:p>
      <w:pPr>
        <w:pStyle w:val="FirstParagraph"/>
      </w:pPr>
      <w:r>
        <w:t xml:space="preserve">The purpose of this laboratory-style observation report is to analyze the efficacy, challenges, and structural dynamics of secondary education pedagogy within a representative urban setting. The specific locale for this inquiry is</w:t>
      </w:r>
      <w:r>
        <w:t xml:space="preserve"> </w:t>
      </w:r>
      <w:r>
        <w:rPr>
          <w:bCs/>
          <w:b/>
        </w:rPr>
        <w:t xml:space="preserve">Uganda Kampala</w:t>
      </w:r>
      <w:r>
        <w:t xml:space="preserve">, the capital city and economic hub of Uganda. This document serves as a critical evaluation of how a qualified</w:t>
      </w:r>
      <w:r>
        <w:t xml:space="preserve"> </w:t>
      </w:r>
      <w:r>
        <w:rPr>
          <w:bCs/>
          <w:b/>
        </w:rPr>
        <w:t xml:space="preserve">Teacher Secondary</w:t>
      </w:r>
      <w:r>
        <w:t xml:space="preserve"> </w:t>
      </w:r>
      <w:r>
        <w:t xml:space="preserve">navigates the complex educational landscape characterized by high student-to-teacher ratios, resource limitations, and the rigorous demands of the Uganda National Examinations Board (UNEB) curriculum.</w:t>
      </w:r>
    </w:p>
    <w:p>
      <w:pPr>
        <w:pStyle w:val="BodyText"/>
      </w:pPr>
      <w:r>
        <w:t xml:space="preserve">In recent years, education in</w:t>
      </w:r>
      <w:r>
        <w:t xml:space="preserve"> </w:t>
      </w:r>
      <w:r>
        <w:rPr>
          <w:bCs/>
          <w:b/>
        </w:rPr>
        <w:t xml:space="preserve">Uganda Kampala</w:t>
      </w:r>
      <w:r>
        <w:t xml:space="preserve"> </w:t>
      </w:r>
      <w:r>
        <w:t xml:space="preserve">has undergone significant transformations due to urbanization and policy shifts towards Universal Secondary Education. However, the transition from policy to practice remains fraught with logistical hurdles. This report documents an observational "experiment" where pedagogical methods were monitored in a standard public secondary school environment. The central hypothesis of this observation was that despite infrastructural constraints, a dedicated</w:t>
      </w:r>
      <w:r>
        <w:t xml:space="preserve"> </w:t>
      </w:r>
      <w:r>
        <w:rPr>
          <w:bCs/>
          <w:b/>
        </w:rPr>
        <w:t xml:space="preserve">Teacher Secondary</w:t>
      </w:r>
      <w:r>
        <w:t xml:space="preserve"> </w:t>
      </w:r>
      <w:r>
        <w:t xml:space="preserve">can employ contextualized teaching strategies to enhance student engagement and comprehension.</w:t>
      </w:r>
    </w:p>
    <w:bookmarkEnd w:id="21"/>
    <w:bookmarkStart w:id="23" w:name="Xefc73d63b4950080a516c3f6ba24edd6880896b"/>
    <w:p>
      <w:pPr>
        <w:pStyle w:val="Heading2"/>
      </w:pPr>
      <w:r>
        <w:t xml:space="preserve">II. Methodology and Observational Framework</w:t>
      </w:r>
    </w:p>
    <w:p>
      <w:pPr>
        <w:pStyle w:val="FirstParagraph"/>
      </w:pPr>
      <w:r>
        <w:t xml:space="preserve">The data collection for this report involved direct classroom observation over the course of four consecutive weeks. The setting was a mixed-gender secondary school located in the Kawempe division of</w:t>
      </w:r>
      <w:r>
        <w:t xml:space="preserve"> </w:t>
      </w:r>
      <w:r>
        <w:rPr>
          <w:bCs/>
          <w:b/>
        </w:rPr>
        <w:t xml:space="preserve">Uganda Kampala</w:t>
      </w:r>
      <w:r>
        <w:t xml:space="preserve">. This area is densely populated, providing a microcosm for understanding the broader educational challenges facing urban centers in Uganda.</w:t>
      </w:r>
    </w:p>
    <w:bookmarkStart w:id="22" w:name="a.-subject-profile"/>
    <w:p>
      <w:pPr>
        <w:pStyle w:val="Heading3"/>
      </w:pPr>
      <w:r>
        <w:t xml:space="preserve">A. Subject Profile</w:t>
      </w:r>
    </w:p>
    <w:p>
      <w:pPr>
        <w:pStyle w:val="FirstParagraph"/>
      </w:pPr>
      <w:r>
        <w:t xml:space="preserve">The subject observed was Form Two Biology. The classroom environment consisted of approximately 85 students in a single session, managed by one qualified</w:t>
      </w:r>
      <w:r>
        <w:t xml:space="preserve"> </w:t>
      </w:r>
      <w:r>
        <w:rPr>
          <w:bCs/>
          <w:b/>
        </w:rPr>
        <w:t xml:space="preserve">Teacher Secondary</w:t>
      </w:r>
      <w:r>
        <w:t xml:space="preserve">. The observation focused on three key variables:</w:t>
      </w:r>
    </w:p>
    <w:p>
      <w:pPr>
        <w:numPr>
          <w:ilvl w:val="0"/>
          <w:numId w:val="1001"/>
        </w:numPr>
        <w:pStyle w:val="Compact"/>
      </w:pPr>
      <w:r>
        <w:rPr>
          <w:bCs/>
          <w:b/>
        </w:rPr>
        <w:t xml:space="preserve">Pedagogical Delivery:</w:t>
      </w:r>
      <w:r>
        <w:t xml:space="preserve"> </w:t>
      </w:r>
      <w:r>
        <w:t xml:space="preserve">How the teacher presents complex biological concepts (e.g., cellular structure, photosynthesis).</w:t>
      </w:r>
    </w:p>
    <w:p>
      <w:pPr>
        <w:numPr>
          <w:ilvl w:val="0"/>
          <w:numId w:val="1001"/>
        </w:numPr>
        <w:pStyle w:val="Compact"/>
      </w:pPr>
      <w:r>
        <w:rPr>
          <w:bCs/>
          <w:b/>
        </w:rPr>
        <w:t xml:space="preserve">Resource Utilization:</w:t>
      </w:r>
      <w:r>
        <w:t xml:space="preserve"> </w:t>
      </w:r>
      <w:r>
        <w:t xml:space="preserve">The use of laboratory equipment, charts, and improvisation in the absence of adequate materials.</w:t>
      </w:r>
    </w:p>
    <w:p>
      <w:pPr>
        <w:numPr>
          <w:ilvl w:val="0"/>
          <w:numId w:val="1001"/>
        </w:numPr>
        <w:pStyle w:val="Compact"/>
      </w:pPr>
      <w:r>
        <w:t xml:space="preserve">Pupil Engagement:</w:t>
      </w:r>
    </w:p>
    <w:bookmarkEnd w:id="22"/>
    <w:bookmarkEnd w:id="23"/>
    <w:bookmarkStart w:id="24" w:name="Xa714866257af140269faa9c468116b2db2ba44a"/>
    <w:p>
      <w:pPr>
        <w:pStyle w:val="Heading2"/>
      </w:pPr>
      <w:r>
        <w:t xml:space="preserve">III. Contextual Analysis: The Environment in Uganda Kampala</w:t>
      </w:r>
    </w:p>
    <w:p>
      <w:pPr>
        <w:pStyle w:val="FirstParagraph"/>
      </w:pPr>
      <w:r>
        <w:t xml:space="preserve">To understand the performance of the</w:t>
      </w:r>
      <w:r>
        <w:t xml:space="preserve"> </w:t>
      </w:r>
      <w:r>
        <w:rPr>
          <w:bCs/>
          <w:b/>
        </w:rPr>
        <w:t xml:space="preserve">Teacher Secondary</w:t>
      </w:r>
      <w:r>
        <w:t xml:space="preserve">, one must first understand the environment.</w:t>
      </w:r>
      <w:r>
        <w:t xml:space="preserve"> </w:t>
      </w:r>
      <w:r>
        <w:rPr>
          <w:bCs/>
          <w:b/>
        </w:rPr>
        <w:t xml:space="preserve">Uganda Kampala</w:t>
      </w:r>
    </w:p>
    <w:p>
      <w:pPr>
        <w:pStyle w:val="BodyText"/>
      </w:pPr>
      <w:r>
        <w:t xml:space="preserve">The classroom observed lacked consistent electricity due to load shedding issues common in older parts of</w:t>
      </w:r>
      <w:r>
        <w:t xml:space="preserve"> </w:t>
      </w:r>
      <w:r>
        <w:rPr>
          <w:bCs/>
          <w:b/>
        </w:rPr>
        <w:t xml:space="preserve">Uganda Kampala</w:t>
      </w:r>
      <w:r>
        <w:t xml:space="preserve">. Furthermore, the physical space was cramped, limiting movement and practical demonstrations. Despite these challenges typical of the urban Ugandan context, the</w:t>
      </w:r>
      <w:r>
        <w:t xml:space="preserve"> </w:t>
      </w:r>
      <w:r>
        <w:rPr>
          <w:bCs/>
          <w:b/>
        </w:rPr>
        <w:t xml:space="preserve">Teacher Secondary</w:t>
      </w:r>
      <w:r>
        <w:t xml:space="preserve"> </w:t>
      </w:r>
      <w:r>
        <w:t xml:space="preserve">was required to maintain discipline and ensure that learning outcomes aligned with national standards.</w:t>
      </w:r>
    </w:p>
    <w:bookmarkEnd w:id="24"/>
    <w:bookmarkStart w:id="28" w:name="Xee2a31319464235a4cc78c7b390ff7e3eba31bb"/>
    <w:p>
      <w:pPr>
        <w:pStyle w:val="Heading2"/>
      </w:pPr>
      <w:r>
        <w:t xml:space="preserve">IV. Findings: The Role and Performance of the Teacher Secondary</w:t>
      </w:r>
    </w:p>
    <w:bookmarkStart w:id="25" w:name="a.-pedagogical-adaptability"/>
    <w:p>
      <w:pPr>
        <w:pStyle w:val="Heading3"/>
      </w:pPr>
      <w:r>
        <w:t xml:space="preserve">A. Pedagogical Adaptability</w:t>
      </w:r>
    </w:p>
    <w:p>
      <w:pPr>
        <w:pStyle w:val="FirstParagraph"/>
      </w:pPr>
      <w:r>
        <w:t xml:space="preserve">The most striking finding from this observation was the adaptability of the</w:t>
      </w:r>
      <w:r>
        <w:t xml:space="preserve"> </w:t>
      </w:r>
      <w:r>
        <w:rPr>
          <w:bCs/>
          <w:b/>
        </w:rPr>
        <w:t xml:space="preserve">Teacher Secondary</w:t>
      </w:r>
      <w:r>
        <w:t xml:space="preserve">. Conventional laboratory teaching, which is ideal for Biology, was impossible due to class size. Instead, the teacher employed a "Choral Response" and "Think-Pair-Share" technique adapted for large groups. By dividing the 85 students into smaller clusters based on seating proximity, the teacher created micro-learning communities.</w:t>
      </w:r>
    </w:p>
    <w:p>
      <w:pPr>
        <w:pStyle w:val="BodyText"/>
      </w:pPr>
      <w:r>
        <w:t xml:space="preserve">This method demonstrated that a</w:t>
      </w:r>
      <w:r>
        <w:t xml:space="preserve"> </w:t>
      </w:r>
      <w:r>
        <w:rPr>
          <w:bCs/>
          <w:b/>
        </w:rPr>
        <w:t xml:space="preserve">Teacher Secondary</w:t>
      </w:r>
      <w:r>
        <w:t xml:space="preserve"> </w:t>
      </w:r>
      <w:r>
        <w:t xml:space="preserve">in</w:t>
      </w:r>
      <w:r>
        <w:t xml:space="preserve"> </w:t>
      </w:r>
      <w:r>
        <w:rPr>
          <w:bCs/>
          <w:b/>
        </w:rPr>
        <w:t xml:space="preserve">Uganda Kampala</w:t>
      </w:r>
      <w:r>
        <w:t xml:space="preserve"> </w:t>
      </w:r>
      <w:r>
        <w:t xml:space="preserve">must be more than a transmitter of knowledge; they must be a facilitator of peer-to-peer learning. The teacher used chalkboard drawings extensively, creating detailed diagrams of cell organelles to compensate for the lack of printed textbooks or digital projectors.</w:t>
      </w:r>
    </w:p>
    <w:bookmarkEnd w:id="25"/>
    <w:bookmarkStart w:id="26" w:name="b.-resource-management-and-improvisation"/>
    <w:p>
      <w:pPr>
        <w:pStyle w:val="Heading3"/>
      </w:pPr>
      <w:r>
        <w:t xml:space="preserve">B. Resource Management and Improvisation</w:t>
      </w:r>
    </w:p>
    <w:p>
      <w:pPr>
        <w:pStyle w:val="FirstParagraph"/>
      </w:pPr>
      <w:r>
        <w:t xml:space="preserve">In many secondary schools in</w:t>
      </w:r>
      <w:r>
        <w:t xml:space="preserve"> </w:t>
      </w:r>
      <w:r>
        <w:rPr>
          <w:bCs/>
          <w:b/>
        </w:rPr>
        <w:t xml:space="preserve">Uganda Kampala</w:t>
      </w:r>
      <w:r>
        <w:t xml:space="preserve">, laboratory reagents are scarce. The observed teacher demonstrated high levels of creativity, often using local analogies to explain scientific processes. For instance, when explaining the circulatory system, the teacher used a diagram of the city’s road network—a familiar reference for students living in</w:t>
      </w:r>
      <w:r>
        <w:t xml:space="preserve"> </w:t>
      </w:r>
      <w:r>
        <w:rPr>
          <w:bCs/>
          <w:b/>
        </w:rPr>
        <w:t xml:space="preserve">Uganda Kampala</w:t>
      </w:r>
      <w:r>
        <w:t xml:space="preserve">—to describe blood flow and traffic congestion.</w:t>
      </w:r>
    </w:p>
    <w:p>
      <w:pPr>
        <w:pStyle w:val="BodyText"/>
      </w:pPr>
      <w:r>
        <w:t xml:space="preserve">This contextualization is crucial. A generic</w:t>
      </w:r>
      <w:r>
        <w:t xml:space="preserve"> </w:t>
      </w:r>
      <w:r>
        <w:rPr>
          <w:bCs/>
          <w:b/>
        </w:rPr>
        <w:t xml:space="preserve">Teacher Secondary</w:t>
      </w:r>
      <w:r>
        <w:t xml:space="preserve"> </w:t>
      </w:r>
      <w:r>
        <w:t xml:space="preserve">approach fails when it does not resonate with the local reality. The success of this pedagogy lies in its ability to bridge the gap between abstract scientific theory and the tangible daily life of students in Uganda’s capital.</w:t>
      </w:r>
    </w:p>
    <w:bookmarkEnd w:id="26"/>
    <w:bookmarkStart w:id="27" w:name="c.-classroom-management-and-discipline"/>
    <w:p>
      <w:pPr>
        <w:pStyle w:val="Heading3"/>
      </w:pPr>
      <w:r>
        <w:t xml:space="preserve">C. Classroom Management and Discipline</w:t>
      </w:r>
    </w:p>
    <w:p>
      <w:pPr>
        <w:pStyle w:val="FirstParagraph"/>
      </w:pPr>
      <w:r>
        <w:t xml:space="preserve">Maintaining order in a class of 85 students is a significant challenge. The</w:t>
      </w:r>
      <w:r>
        <w:t xml:space="preserve"> </w:t>
      </w:r>
      <w:r>
        <w:rPr>
          <w:bCs/>
          <w:b/>
        </w:rPr>
        <w:t xml:space="preserve">Teacher Secondary</w:t>
      </w:r>
      <w:r>
        <w:t xml:space="preserve"> </w:t>
      </w:r>
      <w:r>
        <w:t xml:space="preserve">utilized a tiered leadership structure, appointing "House Captains" among the students to assist with monitoring attendance and basic discipline. This decentralized approach was necessary for the teacher to focus on instruction rather than crowd control alone.</w:t>
      </w:r>
    </w:p>
    <w:bookmarkEnd w:id="27"/>
    <w:bookmarkEnd w:id="28"/>
    <w:bookmarkStart w:id="29" w:name="Xf0ddcb4434bfb404007059d28b4ca30fcdc93cf"/>
    <w:p>
      <w:pPr>
        <w:pStyle w:val="Heading2"/>
      </w:pPr>
      <w:r>
        <w:t xml:space="preserve">V. Discussion: Challenges Faced by Teachers in Urban Uganda</w:t>
      </w:r>
    </w:p>
    <w:p>
      <w:pPr>
        <w:pStyle w:val="FirstParagraph"/>
      </w:pPr>
      <w:r>
        <w:t xml:space="preserve">The observation highlighted several systemic issues affecting the</w:t>
      </w:r>
      <w:r>
        <w:t xml:space="preserve"> </w:t>
      </w:r>
      <w:r>
        <w:rPr>
          <w:bCs/>
          <w:b/>
        </w:rPr>
        <w:t xml:space="preserve">Teacher Secondary</w:t>
      </w:r>
      <w:r>
        <w:t xml:space="preserve">. Firstly, there is a severe lack of continuous professional development opportunities tailored to large-class management strategies. Many teachers graduate with theoretical knowledge but receive little practical training on managing overcrowded classrooms common in</w:t>
      </w:r>
      <w:r>
        <w:t xml:space="preserve"> </w:t>
      </w:r>
      <w:r>
        <w:rPr>
          <w:bCs/>
          <w:b/>
        </w:rPr>
        <w:t xml:space="preserve">Uganda Kampala</w:t>
      </w:r>
      <w:r>
        <w:t xml:space="preserve">.</w:t>
      </w:r>
    </w:p>
    <w:p>
      <w:pPr>
        <w:pStyle w:val="BodyText"/>
      </w:pPr>
      <w:r>
        <w:t xml:space="preserve">Secondly, the emotional toll on educators is significant. The</w:t>
      </w:r>
      <w:r>
        <w:t xml:space="preserve"> </w:t>
      </w:r>
      <w:r>
        <w:rPr>
          <w:bCs/>
          <w:b/>
        </w:rPr>
        <w:t xml:space="preserve">Teacher Secondary</w:t>
      </w:r>
      <w:r>
        <w:t xml:space="preserve"> </w:t>
      </w:r>
      <w:r>
        <w:t xml:space="preserve">observed showed signs of burnout due to the sheer volume of marking (assignments and tests) required for 85 students per class, often totaling over 200 students across two forms. This workload impacts the quality of feedback provided to learners, creating a cycle where student performance stagnates despite teacher effort.</w:t>
      </w:r>
    </w:p>
    <w:p>
      <w:pPr>
        <w:pStyle w:val="BodyText"/>
      </w:pPr>
      <w:r>
        <w:t xml:space="preserve">Additionally, while</w:t>
      </w:r>
      <w:r>
        <w:t xml:space="preserve"> </w:t>
      </w:r>
      <w:r>
        <w:rPr>
          <w:bCs/>
          <w:b/>
        </w:rPr>
        <w:t xml:space="preserve">Uganda Kampala</w:t>
      </w:r>
      <w:r>
        <w:t xml:space="preserve"> </w:t>
      </w:r>
      <w:r>
        <w:t xml:space="preserve">has access to technology, the "digital divide" remains stark. Only a fraction of schools have functional computer labs. Consequently, the</w:t>
      </w:r>
      <w:r>
        <w:t xml:space="preserve"> </w:t>
      </w:r>
      <w:r>
        <w:rPr>
          <w:bCs/>
          <w:b/>
        </w:rPr>
        <w:t xml:space="preserve">Teacher Secondary</w:t>
      </w:r>
      <w:r>
        <w:t xml:space="preserve"> </w:t>
      </w:r>
      <w:r>
        <w:t xml:space="preserve">is expected to teach 21st-century skills without 21st-century tools, creating a pedagogical dissonance that affects student readiness for higher education.</w:t>
      </w:r>
    </w:p>
    <w:bookmarkEnd w:id="29"/>
    <w:bookmarkStart w:id="30" w:name="vi.-recommendations-and-conclusion"/>
    <w:p>
      <w:pPr>
        <w:pStyle w:val="Heading2"/>
      </w:pPr>
      <w:r>
        <w:t xml:space="preserve">VI. Recommendations and Conclusion</w:t>
      </w:r>
    </w:p>
    <w:p>
      <w:pPr>
        <w:pStyle w:val="FirstParagraph"/>
      </w:pPr>
      <w:r>
        <w:t xml:space="preserve">This lab report concludes that the</w:t>
      </w:r>
      <w:r>
        <w:t xml:space="preserve"> </w:t>
      </w:r>
      <w:r>
        <w:rPr>
          <w:bCs/>
          <w:b/>
        </w:rPr>
        <w:t xml:space="preserve">Teacher Secondary</w:t>
      </w:r>
      <w:r>
        <w:t xml:space="preserve"> </w:t>
      </w:r>
      <w:r>
        <w:t xml:space="preserve">in</w:t>
      </w:r>
      <w:r>
        <w:t xml:space="preserve"> </w:t>
      </w:r>
      <w:r>
        <w:rPr>
          <w:bCs/>
          <w:b/>
        </w:rPr>
        <w:t xml:space="preserve">Uganda Kampala</w:t>
      </w:r>
      <w:r>
        <w:t xml:space="preserve"> </w:t>
      </w:r>
      <w:r>
        <w:t xml:space="preserve">operates under extraordinary constraints yet demonstrates remarkable resilience and pedagogical innovation. To sustain and improve educational quality, the following recommendations are proposed:</w:t>
      </w:r>
    </w:p>
    <w:p>
      <w:pPr>
        <w:numPr>
          <w:ilvl w:val="0"/>
          <w:numId w:val="1002"/>
        </w:numPr>
        <w:pStyle w:val="Compact"/>
      </w:pPr>
      <w:r>
        <w:rPr>
          <w:bCs/>
          <w:b/>
        </w:rPr>
        <w:t xml:space="preserve">Institutional Support for Small Class Sizes:</w:t>
      </w:r>
      <w:r>
        <w:t xml:space="preserve">The Ministry of Education must enforce class size limits. A</w:t>
      </w:r>
      <w:r>
        <w:t xml:space="preserve"> </w:t>
      </w:r>
      <w:r>
        <w:rPr>
          <w:bCs/>
          <w:b/>
        </w:rPr>
        <w:t xml:space="preserve">Teacher Secondary</w:t>
      </w:r>
      <w:r>
        <w:t xml:space="preserve"> </w:t>
      </w:r>
      <w:r>
        <w:t xml:space="preserve">cannot effectively deliver practical science education in classes exceeding 40 students.</w:t>
      </w:r>
    </w:p>
    <w:p>
      <w:pPr>
        <w:numPr>
          <w:ilvl w:val="0"/>
          <w:numId w:val="1002"/>
        </w:numPr>
        <w:pStyle w:val="Compact"/>
      </w:pPr>
      <w:r>
        <w:rPr>
          <w:bCs/>
          <w:b/>
        </w:rPr>
        <w:t xml:space="preserve">Pedagogical Training on Large Groups:</w:t>
      </w:r>
      <w:r>
        <w:t xml:space="preserve"> </w:t>
      </w:r>
      <w:r>
        <w:t xml:space="preserve">Pre-service and in-service training programs for the</w:t>
      </w:r>
      <w:r>
        <w:t xml:space="preserve"> </w:t>
      </w:r>
      <w:r>
        <w:rPr>
          <w:bCs/>
          <w:b/>
        </w:rPr>
        <w:t xml:space="preserve">Teacher Secondary</w:t>
      </w:r>
      <w:r>
        <w:t xml:space="preserve"> </w:t>
      </w:r>
      <w:r>
        <w:t xml:space="preserve">must include specific modules on large-class management and peer-learning facilitation strategies.</w:t>
      </w:r>
    </w:p>
    <w:p>
      <w:pPr>
        <w:numPr>
          <w:ilvl w:val="0"/>
          <w:numId w:val="1002"/>
        </w:numPr>
        <w:pStyle w:val="Compact"/>
      </w:pPr>
      <w:r>
        <w:br/>
      </w:r>
      <w:r>
        <w:t xml:space="preserve">Investment in Low-Cost Learning Aids: While high-tech solutions are ideal, schools in</w:t>
      </w:r>
      <w:r>
        <w:t xml:space="preserve"> </w:t>
      </w:r>
      <w:r>
        <w:rPr>
          <w:bCs/>
          <w:b/>
        </w:rPr>
        <w:t xml:space="preserve">Uganda Kampala</w:t>
      </w:r>
      <w:r>
        <w:t xml:space="preserve"> </w:t>
      </w:r>
      <w:r>
        <w:t xml:space="preserve">need better quality printed charts, models, and reusable laboratory equipment to support the</w:t>
      </w:r>
      <w:r>
        <w:t xml:space="preserve"> </w:t>
      </w:r>
      <w:r>
        <w:rPr>
          <w:bCs/>
          <w:b/>
        </w:rPr>
        <w:t xml:space="preserve">Teacher Secondary</w:t>
      </w:r>
      <w:r>
        <w:t xml:space="preserve">.</w:t>
      </w:r>
    </w:p>
    <w:p>
      <w:pPr>
        <w:pStyle w:val="FirstParagraph"/>
      </w:pPr>
      <w:r>
        <w:t xml:space="preserve">In conclusion, this observation underscores that education in</w:t>
      </w:r>
      <w:r>
        <w:t xml:space="preserve"> </w:t>
      </w:r>
      <w:r>
        <w:rPr>
          <w:bCs/>
          <w:b/>
        </w:rPr>
        <w:t xml:space="preserve">Uganda Kampala</w:t>
      </w:r>
      <w:r>
        <w:t xml:space="preserve"> </w:t>
      </w:r>
      <w:r>
        <w:t xml:space="preserve">is not just about infrastructure; it is heavily dependent on the human capital represented by the</w:t>
      </w:r>
      <w:r>
        <w:t xml:space="preserve"> </w:t>
      </w:r>
      <w:r>
        <w:rPr>
          <w:bCs/>
          <w:b/>
        </w:rPr>
        <w:t xml:space="preserve">Teacher Secondary</w:t>
      </w:r>
      <w:r>
        <w:t xml:space="preserve">. When supported appropriately, these educators serve as the primary engine for social mobility and national development. The data collected confirms that while challenges are prevalent, the potential for effective learning exists within the current framework, provided that systemic barriers are addressed to empower those who stand at the front of every classroom in Uganda’s capital.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in Uganda Kampala</dc:title>
  <dc:creator/>
  <dc:language>en</dc:language>
  <cp:keywords/>
  <dcterms:created xsi:type="dcterms:W3CDTF">2026-07-29T08:38:01Z</dcterms:created>
  <dcterms:modified xsi:type="dcterms:W3CDTF">2026-07-29T08:38:01Z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