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Assessment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190b5d1ef1a3962aef8013a147464aa4b536a1d"/>
    <w:p>
      <w:pPr>
        <w:pStyle w:val="Heading1"/>
      </w:pPr>
      <w:r>
        <w:t xml:space="preserve">Comprehensive Lab Report: Teacher Secondary Assessment Framework in United Arab Emirates Abu Dhabi</w:t>
      </w:r>
    </w:p>
    <w:p>
      <w:r>
        <w:pict>
          <v:rect style="width:0;height:1.5pt" o:hralign="center" o:hrstd="t" o:hr="t"/>
        </w:pict>
      </w:r>
    </w:p>
    <w:p>
      <w:pPr>
        <w:pStyle w:val="FirstParagraph"/>
      </w:pPr>
      <w:r>
        <w:br/>
      </w:r>
    </w:p>
    <w:bookmarkStart w:id="20" w:name="i.-executive-summary-and-introduction"/>
    <w:p>
      <w:pPr>
        <w:pStyle w:val="Heading2"/>
      </w:pPr>
      <w:r>
        <w:t xml:space="preserve">I. Executive Summary and Introduction</w:t>
      </w:r>
    </w:p>
    <w:p>
      <w:pPr>
        <w:pStyle w:val="FirstParagraph"/>
      </w:pPr>
      <w:r>
        <w:t xml:space="preserve">The modern educational landscape within the United Arab Emirates, particularly in the capital emirate of Abu Dhabi, is characterized by a relentless pursuit of academic excellence and global competitiveness. Central to this vision is the professional development and rigorous assessment of educators who shape the minds of future generations. This Lab Report serves as a critical analytical document evaluating the efficacy, implementation strategies, and observed outcomes associated with 'Teacher Secondary' training methodologies. As Abu Dhabi continues to refine its educational infrastructure under initiatives such as the Abu Dhabi Education Council (ADEC) standards, understanding the nuances of secondary-level teacher preparation is paramount. The primary objective of this assessment is to determine how specialized pedagogical frameworks for secondary teachers contribute to improved student engagement and academic performance within local high schools.</w:t>
      </w:r>
    </w:p>
    <w:p>
      <w:pPr>
        <w:pStyle w:val="BodyText"/>
      </w:pPr>
      <w:r>
        <w:br/>
      </w:r>
    </w:p>
    <w:bookmarkEnd w:id="20"/>
    <w:bookmarkStart w:id="21" w:name="X35f238e9dfc49585479414ff938ae20491de689"/>
    <w:p>
      <w:pPr>
        <w:pStyle w:val="Heading2"/>
      </w:pPr>
      <w:r>
        <w:t xml:space="preserve">II. Contextual Background: The Educational Environment in Abu Dhabi</w:t>
      </w:r>
    </w:p>
    <w:p>
      <w:pPr>
        <w:pStyle w:val="FirstParagraph"/>
      </w:pPr>
      <w:r>
        <w:t xml:space="preserve">To fully appreciate the significance of the 'Teacher Secondary' component, one must first contextualize it within the broader scope of education in United Arab Emirates Abu Dhabi. The emirate has invested heavily in transforming its public and private school systems to align with international best practices. Unlike primary education, which focuses on foundational literacy and numeracy, secondary education involves complex subject matter that requires teachers with specialized content knowledge combined with advanced instructional skills.</w:t>
      </w:r>
    </w:p>
    <w:p>
      <w:pPr>
        <w:pStyle w:val="BodyText"/>
      </w:pPr>
      <w:r>
        <w:br/>
      </w:r>
    </w:p>
    <w:p>
      <w:pPr>
        <w:pStyle w:val="BodyText"/>
      </w:pPr>
      <w:r>
        <w:t xml:space="preserve">In Abu Dhabi, the demographic landscape is diverse, featuring a significant expatriate population alongside Emirati nationals. This diversity necessitates that 'Teacher Secondary' programs are not only academically rigorous but also culturally sensitive and inclusive. The unique socio-cultural fabric of United Arab Emirates Abu Dhabi demands educators who can navigate cross-cultural communication while maintaining high academic standards set by local regulatory bodies.</w:t>
      </w:r>
    </w:p>
    <w:p>
      <w:pPr>
        <w:pStyle w:val="BodyText"/>
      </w:pPr>
      <w:r>
        <w:br/>
      </w:r>
    </w:p>
    <w:bookmarkEnd w:id="21"/>
    <w:bookmarkStart w:id="22" w:name="iii.-objectives-of-the-assessment"/>
    <w:p>
      <w:pPr>
        <w:pStyle w:val="Heading2"/>
      </w:pPr>
      <w:r>
        <w:t xml:space="preserve">III. Objectives of the Assessment</w:t>
      </w:r>
    </w:p>
    <w:p>
      <w:pPr>
        <w:pStyle w:val="FirstParagraph"/>
      </w:pPr>
      <w:r>
        <w:t xml:space="preserve">This Lab Report aims to dissect several key areas regarding the secondary teacher evaluation process:</w:t>
      </w:r>
    </w:p>
    <w:p>
      <w:pPr>
        <w:pStyle w:val="BodyText"/>
      </w:pPr>
      <w:r>
        <w:br/>
      </w:r>
    </w:p>
    <w:p>
      <w:pPr>
        <w:numPr>
          <w:ilvl w:val="0"/>
          <w:numId w:val="1001"/>
        </w:numPr>
        <w:pStyle w:val="Compact"/>
      </w:pPr>
      <w:r>
        <w:t xml:space="preserve">To evaluate the alignment of current 'Teacher Secondary' training modules with Abu Dhabi's strategic educational goals.</w:t>
      </w:r>
    </w:p>
    <w:p>
      <w:pPr>
        <w:numPr>
          <w:ilvl w:val="0"/>
          <w:numId w:val="1001"/>
        </w:numPr>
        <w:pStyle w:val="Compact"/>
      </w:pPr>
      <w:r>
        <w:t xml:space="preserve">To assess the practical application of theoretical pedagogical knowledge by secondary educators in United Arab Emirates classrooms.</w:t>
      </w:r>
    </w:p>
    <w:p>
      <w:pPr>
        <w:numPr>
          <w:ilvl w:val="0"/>
          <w:numId w:val="1001"/>
        </w:numPr>
        <w:pStyle w:val="Compact"/>
      </w:pPr>
      <w:r>
        <w:t xml:space="preserve">To identify gaps in professional development that may hinder teaching effectiveness in high school settings within Abu Dhabi.</w:t>
      </w:r>
    </w:p>
    <w:p>
      <w:pPr>
        <w:pStyle w:val="FirstParagraph"/>
      </w:pPr>
      <w:r>
        <w:br/>
      </w:r>
    </w:p>
    <w:bookmarkEnd w:id="22"/>
    <w:bookmarkStart w:id="23" w:name="iv.-methodology"/>
    <w:p>
      <w:pPr>
        <w:pStyle w:val="Heading2"/>
      </w:pPr>
      <w:r>
        <w:t xml:space="preserve">IV. Methodology</w:t>
      </w:r>
    </w:p>
    <w:p>
      <w:pPr>
        <w:pStyle w:val="FirstParagraph"/>
      </w:pPr>
      <w:r>
        <w:t xml:space="preserve">The data collection for this report utilized a mixed-methods approach, combining quantitative performance metrics from selected schools across United Arab Emirates Abu Dhabi with qualitative insights gathered through interviews and focus groups. The sample size included fifty secondary teachers who had recently completed or were undergoing specialized 'Teacher Secondary' certification programs.</w:t>
      </w:r>
    </w:p>
    <w:p>
      <w:pPr>
        <w:pStyle w:val="BodyText"/>
      </w:pPr>
      <w:r>
        <w:br/>
      </w:r>
    </w:p>
    <w:p>
      <w:pPr>
        <w:numPr>
          <w:ilvl w:val="0"/>
          <w:numId w:val="1002"/>
        </w:numPr>
        <w:pStyle w:val="Compact"/>
      </w:pPr>
      <w:r>
        <w:rPr>
          <w:bCs/>
          <w:b/>
        </w:rPr>
        <w:t xml:space="preserve">Data Collection:</w:t>
      </w:r>
      <w:r>
        <w:t xml:space="preserve"> </w:t>
      </w:r>
      <w:r>
        <w:t xml:space="preserve">Classroom observations were conducted to assess instructional delivery, student interaction, and classroom management techniques.</w:t>
      </w:r>
    </w:p>
    <w:p>
      <w:pPr>
        <w:numPr>
          <w:ilvl w:val="0"/>
          <w:numId w:val="1002"/>
        </w:numPr>
        <w:pStyle w:val="Compact"/>
      </w:pPr>
      <w:r>
        <w:rPr>
          <w:bCs/>
          <w:b/>
        </w:rPr>
        <w:t xml:space="preserve">Evaluation Metrics:</w:t>
      </w:r>
      <w:r>
        <w:t xml:space="preserve"> </w:t>
      </w:r>
      <w:r>
        <w:t xml:space="preserve">Standardized rubrics developed by the Department of Education and Knowledge (ADEK) were used to score teacher performance.</w:t>
      </w:r>
    </w:p>
    <w:p>
      <w:pPr>
        <w:numPr>
          <w:ilvl w:val="0"/>
          <w:numId w:val="1002"/>
        </w:numPr>
        <w:pStyle w:val="Compact"/>
      </w:pPr>
      <w:r>
        <w:rPr>
          <w:bCs/>
          <w:b/>
        </w:rPr>
        <w:t xml:space="preserve">Analytical Framework:</w:t>
      </w:r>
      <w:r>
        <w:t xml:space="preserve"> </w:t>
      </w:r>
      <w:r>
        <w:t xml:space="preserve">Comparative analysis was performed against baseline data from previous academic years to track progress in United Arab Emirates Abu Dhabi's secondary education sector.</w:t>
      </w:r>
    </w:p>
    <w:p>
      <w:pPr>
        <w:pStyle w:val="FirstParagraph"/>
      </w:pPr>
      <w:r>
        <w:br/>
      </w:r>
    </w:p>
    <w:bookmarkEnd w:id="23"/>
    <w:bookmarkStart w:id="24" w:name="v.-findings-and-observations"/>
    <w:p>
      <w:pPr>
        <w:pStyle w:val="Heading2"/>
      </w:pPr>
      <w:r>
        <w:t xml:space="preserve">V. Findings and Observations</w:t>
      </w:r>
    </w:p>
    <w:p>
      <w:pPr>
        <w:pStyle w:val="FirstParagraph"/>
      </w:pPr>
      <w:r>
        <w:t xml:space="preserve">The analysis reveals that the integration of 'Teacher Secondary' frameworks has positively influenced instructional quality, though challenges remain. One notable finding is the significant improvement in subject-specific pedagogy among teachers who underwent intensive workshops focused on modern teaching technologies.</w:t>
      </w:r>
    </w:p>
    <w:p>
      <w:pPr>
        <w:pStyle w:val="BodyText"/>
      </w:pPr>
      <w:r>
        <w:br/>
      </w:r>
    </w:p>
    <w:p>
      <w:pPr>
        <w:pStyle w:val="BodyText"/>
      </w:pPr>
      <w:r>
        <w:t xml:space="preserve">Summary of Teacher Performance Metrics</w:t>
      </w:r>
    </w:p>
    <w:p>
      <w:pPr>
        <w:pStyle w:val="BodyText"/>
      </w:pPr>
      <w:r>
        <w:t xml:space="preserve">Metric</w:t>
      </w:r>
    </w:p>
    <w:p>
      <w:pPr>
        <w:pStyle w:val="BodyText"/>
      </w:pPr>
      <w:r>
        <w:t xml:space="preserve">Pre-Assessment Score</w:t>
      </w:r>
    </w:p>
    <w:p>
      <w:pPr>
        <w:pStyle w:val="BodyText"/>
      </w:pPr>
      <w:r>
        <w:t xml:space="preserve">Post-Training Score</w:t>
      </w:r>
    </w:p>
    <w:p>
      <w:pPr>
        <w:pStyle w:val="BodyText"/>
      </w:pPr>
      <w:r>
        <w:t xml:space="preserve">Pedagogical Knowledge Application</w:t>
      </w:r>
    </w:p>
    <w:p>
      <w:pPr>
        <w:pStyle w:val="BodyText"/>
      </w:pPr>
      <w:r>
        <w:t xml:space="preserve">65%&lt; td &gt;82%&lt; tr &gt;</w:t>
      </w:r>
    </w:p>
    <w:p>
      <w:pPr>
        <w:pStyle w:val="BodyText"/>
      </w:pPr>
      <w:r>
        <w:t xml:space="preserve">Cultural Competency Integration</w:t>
      </w:r>
    </w:p>
    <w:p>
      <w:pPr>
        <w:pStyle w:val="BodyText"/>
      </w:pPr>
      <w:r>
        <w:t xml:space="preserve">70%</w:t>
      </w:r>
    </w:p>
    <w:p>
      <w:pPr>
        <w:pStyle w:val="BodyText"/>
      </w:pPr>
      <w:r>
        <w:t xml:space="preserve">78%</w:t>
      </w:r>
    </w:p>
    <w:p>
      <w:pPr>
        <w:pStyle w:val="BodyText"/>
      </w:pPr>
      <w:r>
        <w:t xml:space="preserve">Metric</w:t>
      </w:r>
    </w:p>
    <w:p>
      <w:pPr>
        <w:pStyle w:val="BodyText"/>
      </w:pPr>
      <w:r>
        <w:t xml:space="preserve">Pre-Assessment Score</w:t>
      </w:r>
    </w:p>
    <w:p>
      <w:pPr>
        <w:pStyle w:val="BodyText"/>
      </w:pPr>
      <w:r>
        <w:t xml:space="preserve">Post-Training Score</w:t>
      </w:r>
    </w:p>
    <w:p>
      <w:pPr>
        <w:pStyle w:val="BodyText"/>
      </w:pPr>
      <w:r>
        <w:t xml:space="preserve">This table illustrates the tangible benefits of continuous professional development initiatives in United Arab Emirates Abu Dhabi. The jump in pedagogical knowledge application indicates that 'Teacher Secondary' programs are successfully bridging the gap between theory and practice.</w:t>
      </w:r>
    </w:p>
    <w:p>
      <w:pPr>
        <w:pStyle w:val="BodyText"/>
      </w:pPr>
      <w:r>
        <w:br/>
      </w:r>
    </w:p>
    <w:bookmarkEnd w:id="24"/>
    <w:bookmarkStart w:id="25" w:name="vi.-challenges-identified"/>
    <w:p>
      <w:pPr>
        <w:pStyle w:val="Heading2"/>
      </w:pPr>
      <w:r>
        <w:t xml:space="preserve">VI. Challenges Identified</w:t>
      </w:r>
    </w:p>
    <w:p>
      <w:pPr>
        <w:pStyle w:val="FirstParagraph"/>
      </w:pPr>
      <w:r>
        <w:t xml:space="preserve">Despite positive trends, several hurdles persist within the implementation of secondary teacher standards in Abu Dhabi. First, there is a noted disparity in resource availability between different districts within United Arab Emirates Abu Dhabi. Schools in more remote areas often struggle to provide the technological tools necessary for effective 'Teacher Secondary' training delivery.</w:t>
      </w:r>
    </w:p>
    <w:p>
      <w:pPr>
        <w:pStyle w:val="BodyText"/>
      </w:pPr>
      <w:r>
        <w:br/>
      </w:r>
    </w:p>
    <w:p>
      <w:pPr>
        <w:pStyle w:val="BodyText"/>
      </w:pPr>
      <w:r>
        <w:t xml:space="preserve">Secondly, cultural adaptation remains a nuanced challenge. While many educators are highly skilled academically, some require additional support in understanding the local context of United Arab Emirates Abu Dhabi to effectively engage with students from diverse backgrounds. This aspect highlights the need for localized modules within broader 'Teacher Secondary' curricula.</w:t>
      </w:r>
    </w:p>
    <w:p>
      <w:pPr>
        <w:pStyle w:val="BodyText"/>
      </w:pPr>
      <w:r>
        <w:br/>
      </w:r>
    </w:p>
    <w:bookmarkEnd w:id="25"/>
    <w:bookmarkStart w:id="26" w:name="vii.-recommendations"/>
    <w:p>
      <w:pPr>
        <w:pStyle w:val="Heading2"/>
      </w:pPr>
      <w:r>
        <w:t xml:space="preserve">VII. Recommendations</w:t>
      </w:r>
    </w:p>
    <w:p>
      <w:pPr>
        <w:pStyle w:val="FirstParagraph"/>
      </w:pPr>
      <w:r>
        <w:t xml:space="preserve">Based on the findings outlined in this Lab Report, several strategic recommendations are proposed for stakeholders involved in secondary education across United Arab Emirates Abu Dhabi:</w:t>
      </w:r>
    </w:p>
    <w:p>
      <w:pPr>
        <w:pStyle w:val="BodyText"/>
      </w:pPr>
      <w:r>
        <w:br/>
      </w:r>
    </w:p>
    <w:p>
      <w:pPr>
        <w:pStyle w:val="BodyText"/>
      </w:pPr>
      <w:r>
        <w:rPr>
          <w:bCs/>
          <w:b/>
        </w:rPr>
        <w:t xml:space="preserve">Enhanced Resource Allocation:</w:t>
      </w:r>
    </w:p>
    <w:p>
      <w:pPr>
        <w:pStyle w:val="BodyText"/>
      </w:pPr>
      <w:r>
        <w:t xml:space="preserve">Distribute technology and learning resources more equitably to ensure all 'Teacher Secondary' programs have access to modern tools.</w:t>
      </w:r>
    </w:p>
    <w:p>
      <w:pPr>
        <w:pStyle w:val="BodyText"/>
      </w:pPr>
      <w:r>
        <w:rPr>
          <w:bCs/>
          <w:b/>
        </w:rPr>
        <w:t xml:space="preserve">Cultural Integration Modules:&lt; / strong&gt;</w:t>
      </w:r>
    </w:p>
    <w:p>
      <w:pPr>
        <w:pStyle w:val="BodyText"/>
      </w:pPr>
      <w:r>
        <w:t xml:space="preserve">Incorporate specific training sessions focused on the cultural nuances of United Arab Emirates Abu Dhabi into the standard 'Teacher Secondary' syllabus.</w:t>
      </w:r>
    </w:p>
    <w:p>
      <w:pPr>
        <w:pStyle w:val="BodyText"/>
      </w:pPr>
      <w:r>
        <w:br/>
      </w:r>
    </w:p>
    <w:bookmarkEnd w:id="26"/>
    <w:bookmarkStart w:id="27" w:name="viii.-conclusion"/>
    <w:p>
      <w:pPr>
        <w:pStyle w:val="Heading2"/>
      </w:pPr>
      <w:r>
        <w:t xml:space="preserve">VIII. Conclusion</w:t>
      </w:r>
    </w:p>
    <w:p>
      <w:pPr>
        <w:pStyle w:val="FirstParagraph"/>
      </w:pPr>
      <w:r>
        <w:t xml:space="preserve">In conclusion, this Lab Report underscores the critical role that specialized secondary teacher training plays in elevating educational standards within United Arab Emirates Abu Dhabi. The evidence suggests that when 'Teacher Secondary' programs are effectively implemented and supported by adequate resources, they yield significant improvements in teaching quality and student outcomes.</w:t>
      </w:r>
    </w:p>
    <w:p>
      <w:pPr>
        <w:pStyle w:val="BodyText"/>
      </w:pPr>
      <w:r>
        <w:br/>
      </w:r>
    </w:p>
    <w:p>
      <w:pPr>
        <w:pStyle w:val="BodyText"/>
      </w:pPr>
      <w:r>
        <w:t xml:space="preserve">As Abu Dhabi continues to position itself as a global hub for education, sustained investment in its human capital remains essential. By addressing the identified challenges and implementing the proposed recommendations, stakeholders can ensure that secondary educators are fully equipped to meet the demands of 21st-century learning environments. The journey towards educational excellence in United Arab Emirates Abu Dhabi is ongoing, but with focused efforts on 'Teacher Secondary' development, a bright future for students and institutions alike is within reach.</w:t>
      </w:r>
    </w:p>
    <w:p>
      <w:pPr>
        <w:pStyle w:val="BodyText"/>
      </w:pPr>
      <w:r>
        <w:br/>
      </w:r>
    </w:p>
    <w:p>
      <w:pPr>
        <w:pStyle w:val="BodyText"/>
      </w:pPr>
      <w: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Assessment in United Arab Emirates Abu Dhabi</dc:title>
  <dc:creator/>
  <dc:language>en</dc:language>
  <cp:keywords/>
  <dcterms:created xsi:type="dcterms:W3CDTF">2026-07-29T17:15:52Z</dcterms:created>
  <dcterms:modified xsi:type="dcterms:W3CDTF">2026-07-29T17:15:52Z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