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Evaluation</w:t>
      </w:r>
      <w:r>
        <w:t xml:space="preserve"> </w:t>
      </w:r>
      <w:r>
        <w:t xml:space="preserve">Framework</w:t>
      </w:r>
      <w:r>
        <w:t xml:space="preserve"> </w:t>
      </w:r>
      <w:r>
        <w:t xml:space="preserve">in</w:t>
      </w:r>
      <w:r>
        <w:t xml:space="preserve"> </w:t>
      </w:r>
      <w:r>
        <w:t xml:space="preserve">UAE</w:t>
      </w:r>
      <w:r>
        <w:t xml:space="preserve"> </w:t>
      </w:r>
      <w:r>
        <w:t xml:space="preserve">Dubai</w:t>
      </w:r>
    </w:p>
    <w:bookmarkStart w:id="30" w:name="Xf9e918ead9b3ba40f8aab73cfd389bb82b1520d"/>
    <w:p>
      <w:pPr>
        <w:pStyle w:val="Heading1"/>
      </w:pPr>
      <w:r>
        <w:t xml:space="preserve">Evaluation of Pedagogical Efficacy and Cultural Adaptation in the Secondary Education Sector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Arab Emirates Dubai</w:t>
      </w:r>
      <w:r>
        <w:br/>
      </w:r>
      <w:r>
        <w:rPr>
          <w:bCs/>
          <w:b/>
        </w:rPr>
        <w:t xml:space="preserve">Subject Focus:</w:t>
      </w:r>
      <w:r>
        <w:t xml:space="preserve"> </w:t>
      </w:r>
      <w:r>
        <w:t xml:space="preserve">Teacher Secondary Methodology and Curriculum Implementation</w:t>
      </w:r>
    </w:p>
    <w:bookmarkStart w:id="20" w:name="laboratory-abstract"/>
    <w:p>
      <w:pPr>
        <w:pStyle w:val="Heading2"/>
      </w:pPr>
      <w:r>
        <w:rPr>
          <w:u w:val="single"/>
        </w:rPr>
        <w:t xml:space="preserve">Laboratory Abstract</w:t>
      </w:r>
    </w:p>
    <w:p>
      <w:pPr>
        <w:pStyle w:val="FirstParagraph"/>
      </w:pPr>
      <w:r>
        <w:t xml:space="preserve">This document serves as a comprehensive Lab Report regarding the instructional strategies, classroom management techniques, and curriculum adherence required of a Teacher Secondary within the highly regulated educational landscape of the United Arab Emirates Dubai. The purpose of this report is to analyze how secondary level educators navigate the dual mandates of global academic standards (such as IB or American Common Core) and local cultural imperatives defined by the Knowledge and Human Development Authority (KHDA). This study highlights that effective teaching in this region requires not only subject matter expertise but also significant cultural intelligence and adaptability.</w:t>
      </w:r>
    </w:p>
    <w:bookmarkEnd w:id="20"/>
    <w:bookmarkStart w:id="21" w:name="introduction"/>
    <w:p>
      <w:pPr>
        <w:pStyle w:val="Heading2"/>
      </w:pPr>
      <w:r>
        <w:t xml:space="preserve">1. Introduction</w:t>
      </w:r>
    </w:p>
    <w:p>
      <w:pPr>
        <w:pStyle w:val="FirstParagraph"/>
      </w:pPr>
      <w:r>
        <w:t xml:space="preserve">The educational ecosystem in the United Arab Emirates Dubai is characterized by rapid modernization, multicultural diversity, and a strong governmental emphasis on innovation. At the heart of this system stands the Teacher Secondary, whose role extends far beyond traditional instruction. In this context, a "Lab Report" on teacher performance is not merely an assessment of grades achieved by students, but an empirical analysis of pedagogical outcomes in real-time classroom environments.</w:t>
      </w:r>
    </w:p>
    <w:p>
      <w:pPr>
        <w:pStyle w:val="BodyText"/>
      </w:pPr>
      <w:r>
        <w:t xml:space="preserve">The objective of this report is to dissect the competencies required for secondary teachers operating in Dubai’s schools. These institutions serve as micro-laboratories where international curricula meet local traditions. The Teacher Secondary must function effectively within this hybrid environment, ensuring that students are prepared for higher education globally while remaining grounded in the values of their host country.</w:t>
      </w:r>
    </w:p>
    <w:bookmarkEnd w:id="21"/>
    <w:bookmarkStart w:id="22" w:name="methodology-and-observational-framework"/>
    <w:p>
      <w:pPr>
        <w:pStyle w:val="Heading2"/>
      </w:pPr>
      <w:r>
        <w:t xml:space="preserve">2. Methodology and Observational Framework</w:t>
      </w:r>
    </w:p>
    <w:p>
      <w:pPr>
        <w:pStyle w:val="FirstParagraph"/>
      </w:pPr>
      <w:r>
        <w:t xml:space="preserve">To construct this report, data was synthesized from observational case studies conducted across three major private schools in Dubai. The evaluation framework utilized is consistent with KHDA inspection methodologies, which prioritize student progress, personal development of students, and quality of education provided by the Teacher Secondary.</w:t>
      </w:r>
    </w:p>
    <w:p>
      <w:pPr>
        <w:numPr>
          <w:ilvl w:val="0"/>
          <w:numId w:val="1001"/>
        </w:numPr>
        <w:pStyle w:val="Compact"/>
      </w:pPr>
      <w:r>
        <w:rPr>
          <w:bCs/>
          <w:b/>
        </w:rPr>
        <w:t xml:space="preserve">Data Collection:</w:t>
      </w:r>
      <w:r>
        <w:t xml:space="preserve"> </w:t>
      </w:r>
      <w:r>
        <w:t xml:space="preserve">Classroom observations during science and mathematics modules for grades 10-12.</w:t>
      </w:r>
    </w:p>
    <w:p>
      <w:pPr>
        <w:numPr>
          <w:ilvl w:val="0"/>
          <w:numId w:val="1001"/>
        </w:numPr>
        <w:pStyle w:val="Compact"/>
      </w:pPr>
      <w:r>
        <w:rPr>
          <w:bCs/>
          <w:b/>
        </w:rPr>
        <w:t xml:space="preserve">Evaluation Criteria:</w:t>
      </w:r>
      <w:r>
        <w:t xml:space="preserve"> </w:t>
      </w:r>
      <w:r>
        <w:t xml:space="preserve">Adherence to the UAE National Agenda, integration of technology, differentiation strategies for diverse learners (including Arab nationals and expatriates), and safety protocols.</w:t>
      </w:r>
    </w:p>
    <w:p>
      <w:pPr>
        <w:numPr>
          <w:ilvl w:val="0"/>
          <w:numId w:val="1001"/>
        </w:numPr>
        <w:pStyle w:val="Compact"/>
      </w:pPr>
      <w:r>
        <w:rPr>
          <w:bCs/>
          <w:b/>
        </w:rPr>
        <w:t xml:space="preserve">Subject Definition:</w:t>
      </w:r>
      <w:r>
        <w:t xml:space="preserve"> </w:t>
      </w:r>
      <w:r>
        <w:t xml:space="preserve">In this context, "Teacher Secondary" refers specifically to educators handling adolescents aged 15-18, a critical developmental stage involving puberty, identity formation, and pre-university preparation.</w:t>
      </w:r>
    </w:p>
    <w:bookmarkEnd w:id="22"/>
    <w:bookmarkStart w:id="26" w:name="X7e0d442f367bb0450a7fecfeae901c6671257f0"/>
    <w:p>
      <w:pPr>
        <w:pStyle w:val="Heading2"/>
      </w:pPr>
      <w:r>
        <w:rPr>
          <w:u w:val="single"/>
        </w:rPr>
        <w:t xml:space="preserve">Laboratory Results</w:t>
      </w:r>
      <w:r>
        <w:t xml:space="preserve">: Key Performance Indicators</w:t>
      </w:r>
    </w:p>
    <w:bookmarkStart w:id="23" w:name="a.-cultural-adaptation-and-sensitivity"/>
    <w:p>
      <w:pPr>
        <w:pStyle w:val="Heading3"/>
      </w:pPr>
      <w:r>
        <w:t xml:space="preserve">A. Cultural Adaptation and Sensitivity</w:t>
      </w:r>
    </w:p>
    <w:p>
      <w:pPr>
        <w:pStyle w:val="FirstParagraph"/>
      </w:pPr>
      <w:r>
        <w:t xml:space="preserve">The most significant finding in this report is the necessity for high cultural intelligence among Teacher Secondary staff. In United Arab Emirates Dubai, schools are melting pots of nationalities, yet they operate under Islamic laws and customs. The data indicates that successful teachers modify their behavior regarding dress code interpretation, gender interaction norms during group work, and content selection to ensure alignment with local sensitivities.</w:t>
      </w:r>
    </w:p>
    <w:p>
      <w:pPr>
        <w:pStyle w:val="BodyText"/>
      </w:pPr>
      <w:r>
        <w:t xml:space="preserve">For instance, in literature classes involving sensitive themes, the Teacher Secondary demonstrated varying levels of success depending on their ability to contextualize materials for a Muslim-majority population. Those who proactively engaged in dialogue with parents and administration regarding curriculum content received significantly higher evaluation scores from KHDA inspectors.</w:t>
      </w:r>
    </w:p>
    <w:bookmarkEnd w:id="23"/>
    <w:bookmarkStart w:id="24" w:name="X325c1e0a7445104558ffe24eeaf52efcc90a81c"/>
    <w:p>
      <w:pPr>
        <w:pStyle w:val="Heading3"/>
      </w:pPr>
      <w:r>
        <w:t xml:space="preserve">B. Curriculum Implementation and Academic Rigor</w:t>
      </w:r>
    </w:p>
    <w:p>
      <w:pPr>
        <w:pStyle w:val="FirstParagraph"/>
      </w:pPr>
      <w:r>
        <w:t xml:space="preserve">The role of the Teacher Secondary involves delivering rigorous academic content that prepares students for standardized tests such as SATs, IB Diplomas, or American High School Equivalency. The report highlights a strong correlation between teacher-led inquiry methods and student engagement levels.</w:t>
      </w:r>
    </w:p>
    <w:p>
      <w:pPr>
        <w:pStyle w:val="BodyText"/>
      </w:pPr>
      <w:r>
        <w:t xml:space="preserve">Pedagogical Strategy</w:t>
      </w:r>
    </w:p>
    <w:p>
      <w:pPr>
        <w:pStyle w:val="BodyText"/>
      </w:pPr>
      <w:r>
        <w:t xml:space="preserve">Efficacy in UAE Dubai Context</w:t>
      </w:r>
    </w:p>
    <w:p>
      <w:pPr>
        <w:pStyle w:val="BodyText"/>
      </w:pPr>
      <w:r>
        <w:t xml:space="preserve">Note for Teacher Secondary</w:t>
      </w:r>
    </w:p>
    <w:p>
      <w:pPr>
        <w:pStyle w:val="BodyText"/>
      </w:pPr>
      <w:r>
        <w:t xml:space="preserve">Lecture-based Instruction</w:t>
      </w:r>
    </w:p>
    <w:p>
      <w:pPr>
        <w:pStyle w:val="BodyText"/>
      </w:pPr>
      <w:r>
        <w:t xml:space="preserve">Moderate Impact on Engagement.</w:t>
      </w:r>
    </w:p>
    <w:p>
      <w:pPr>
        <w:pStyle w:val="BodyText"/>
      </w:pPr>
      <w:r>
        <w:t xml:space="preserve">Must be supplemented by interactive elements to maintain attention spans of digital-native teens.</w:t>
      </w:r>
    </w:p>
    <w:p>
      <w:pPr>
        <w:pStyle w:val="BodyText"/>
      </w:pPr>
      <w:r>
        <w:t xml:space="preserve">Inquiry-Based Learning</w:t>
      </w:r>
    </w:p>
    <w:p>
      <w:pPr>
        <w:pStyle w:val="BodyText"/>
      </w:pPr>
      <w:r>
        <w:rPr>
          <w:bCs/>
          <w:b/>
        </w:rPr>
        <w:t xml:space="preserve">High Impact</w:t>
      </w:r>
    </w:p>
    <w:p>
      <w:pPr>
        <w:pStyle w:val="BodyText"/>
      </w:pPr>
      <w:r>
        <w:t xml:space="preserve">TD&gt;This aligns with the UAE’s Vision 2031 goals for innovation and critical thinking. Teachers act as facilitators rather than sole sources of knowledge.</w:t>
      </w:r>
    </w:p>
    <w:p>
      <w:pPr>
        <w:pStyle w:val="BodyText"/>
      </w:pPr>
      <w:r>
        <w:t xml:space="preserve">Digital Integration</w:t>
      </w:r>
    </w:p>
    <w:p>
      <w:pPr>
        <w:pStyle w:val="BodyText"/>
      </w:pPr>
      <w:r>
        <w:rPr>
          <w:bCs/>
          <w:b/>
        </w:rPr>
        <w:t xml:space="preserve">High Impact</w:t>
      </w:r>
    </w:p>
    <w:p>
      <w:pPr>
        <w:pStyle w:val="BodyText"/>
      </w:pPr>
      <w:r>
        <w:t xml:space="preserve">TD&gt;The "Teacher Secondary" in Dubai is expected to be tech-savvy, utilizing platforms like Google Classroom and interactive whiteboards effectively.</w:t>
      </w:r>
    </w:p>
    <w:p>
      <w:pPr>
        <w:pStyle w:val="BodyText"/>
      </w:pPr>
      <w:r>
        <w:t xml:space="preserve">&gt;</w:t>
      </w:r>
    </w:p>
    <w:bookmarkEnd w:id="24"/>
    <w:bookmarkStart w:id="25" w:name="Xa539ceabdeae38ba22c63af01f147357b62743c"/>
    <w:p>
      <w:pPr>
        <w:pStyle w:val="Heading3"/>
      </w:pPr>
      <w:r>
        <w:t xml:space="preserve">C. Behavioral Management and Moral Education</w:t>
      </w:r>
    </w:p>
    <w:p>
      <w:pPr>
        <w:pStyle w:val="FirstParagraph"/>
      </w:pPr>
      <w:r>
        <w:t xml:space="preserve">In the United Arab Emirates Dubai, the concept of "Moral Education" is a mandatory subject introduced by the government. Consequently, every Teacher Secondary, regardless of their primary discipline (whether Physics or History), bears responsibility for reinforcing moral values. The lab report data shows that teachers who successfully integrated moral lessons into their subject matter—such as discussing integrity in science experiments or civic duty in history—fostered a more cohesive classroom environment.</w:t>
      </w:r>
    </w:p>
    <w:p>
      <w:pPr>
        <w:pStyle w:val="BodyText"/>
      </w:pPr>
      <w:r>
        <w:t xml:space="preserve">Furthermore, adolescent behavioral issues often stem from cultural dislocation. Effective Teacher Secondary personnel utilize restorative justice practices rather than punitive measures, recognizing the diverse socioeconomic backgrounds of students in Dubai’s private sector.</w:t>
      </w:r>
    </w:p>
    <w:bookmarkEnd w:id="25"/>
    <w:bookmarkEnd w:id="26"/>
    <w:bookmarkStart w:id="27" w:name="Xbfbeef090c0f670a0bf33b111d135382759d19e"/>
    <w:p>
      <w:pPr>
        <w:pStyle w:val="Heading2"/>
      </w:pPr>
      <w:r>
        <w:rPr>
          <w:u w:val="single"/>
        </w:rPr>
        <w:t xml:space="preserve">Laboratory Analysis</w:t>
      </w:r>
      <w:r>
        <w:t xml:space="preserve">: Challenges and Variables</w:t>
      </w:r>
    </w:p>
    <w:p>
      <w:pPr>
        <w:pStyle w:val="FirstParagraph"/>
      </w:pPr>
      <w:r>
        <w:t xml:space="preserve">The analysis reveals several variables that complicate the role of the Teacher Secondary. The most prominent is language proficiency. While English is the medium of instruction, many students in Dubai speak Arabic or other languages at home. The report notes that teachers who possess basic Arabic skills or utilize bilingual teaching assistants show significantly faster integration rates for non-native English speakers.</w:t>
      </w:r>
    </w:p>
    <w:p>
      <w:pPr>
        <w:pStyle w:val="BodyText"/>
      </w:pPr>
      <w:r>
        <w:t xml:space="preserve">Another critical variable is the pace of change. The UAE government frequently updates educational policies to promote sustainability, artificial intelligence, and future skills. A Teacher Secondary must be a lifelong learner, constantly upskilling to meet these evolving standards. Resistance to change was identified as a primary factor in low performance evaluations among veteran staff.</w:t>
      </w:r>
    </w:p>
    <w:bookmarkEnd w:id="27"/>
    <w:bookmarkStart w:id="28" w:name="laboratory-conclusion"/>
    <w:p>
      <w:pPr>
        <w:pStyle w:val="Heading2"/>
      </w:pPr>
      <w:r>
        <w:rPr>
          <w:u w:val="single"/>
        </w:rPr>
        <w:t xml:space="preserve">Laboratory Conclusion</w:t>
      </w:r>
    </w:p>
    <w:p>
      <w:pPr>
        <w:pStyle w:val="FirstParagraph"/>
      </w:pPr>
      <w:r>
        <w:t xml:space="preserve">In conclusion, this Lab Report establishes that the profession of Teacher Secondary in United Arab Emirates Dubai is complex and multifaceted. It is not sufficient to merely possess subject knowledge; the educator must also be a cultural mediator, a technologist, and a moral guide.</w:t>
      </w:r>
    </w:p>
    <w:p>
      <w:pPr>
        <w:pStyle w:val="BodyText"/>
      </w:pPr>
      <w:r>
        <w:t xml:space="preserve">The data confirms that schools achieving top-tier ratings in KHDA inspections are those where the Teacher Secondary actively participates in school-wide initiatives aligned with UAE national goals. The adaptability of these educators allows them to bridge the gap between international academic expectations and local cultural realities.</w:t>
      </w:r>
    </w:p>
    <w:p>
      <w:pPr>
        <w:pStyle w:val="BodyText"/>
      </w:pPr>
      <w:r>
        <w:t xml:space="preserve">Future recommendations suggest that recruitment for Teacher Secondary positions should prioritize candidates with experience in multicultural environments or specific training in Middle Eastern educational contexts. Additionally, ongoing professional development programs must focus heavily on digital pedagogy and emotional intelligence to support adolescents in this dynamic region.</w:t>
      </w:r>
    </w:p>
    <w:bookmarkEnd w:id="28"/>
    <w:bookmarkStart w:id="29" w:name="laboratory-recommendations"/>
    <w:p>
      <w:pPr>
        <w:pStyle w:val="Heading2"/>
      </w:pPr>
      <w:r>
        <w:rPr>
          <w:u w:val="single"/>
        </w:rPr>
        <w:t xml:space="preserve">Laboratory Recommendations</w:t>
      </w:r>
    </w:p>
    <w:p>
      <w:pPr>
        <w:numPr>
          <w:ilvl w:val="0"/>
          <w:numId w:val="1002"/>
        </w:numPr>
        <w:pStyle w:val="Compact"/>
      </w:pPr>
      <w:r>
        <w:rPr>
          <w:bCs/>
          <w:b/>
        </w:rPr>
        <w:t xml:space="preserve">Cultural Immersion Training:</w:t>
      </w:r>
      <w:r>
        <w:t xml:space="preserve"> </w:t>
      </w:r>
      <w:r>
        <w:t xml:space="preserve">Mandatory pre-service training for Teacher Secondary staff regarding UAE history, Islamic traditions, and local labor laws.</w:t>
      </w:r>
    </w:p>
    <w:p>
      <w:pPr>
        <w:numPr>
          <w:ilvl w:val="0"/>
          <w:numId w:val="1002"/>
        </w:numPr>
        <w:pStyle w:val="Compact"/>
      </w:pPr>
      <w:r>
        <w:rPr>
          <w:bCs/>
          <w:b/>
        </w:rPr>
        <w:t xml:space="preserve">Digital Tool Standardization:</w:t>
      </w:r>
      <w:r>
        <w:t xml:space="preserve"> </w:t>
      </w:r>
      <w:r>
        <w:t xml:space="preserve">Schools should provide standardized digital platforms to ensure all Teacher Secondary members are proficient in the same educational technology suite.</w:t>
      </w:r>
    </w:p>
    <w:p>
      <w:pPr>
        <w:numPr>
          <w:ilvl w:val="0"/>
          <w:numId w:val="1002"/>
        </w:numPr>
        <w:pStyle w:val="Compact"/>
      </w:pPr>
      <w:r>
        <w:rPr>
          <w:bCs/>
          <w:b/>
        </w:rPr>
        <w:t xml:space="preserve">Mentorship Programs:</w:t>
      </w:r>
      <w:r>
        <w:t xml:space="preserve"> </w:t>
      </w:r>
      <w:r>
        <w:t xml:space="preserve">Pairing novice teachers with experienced mentors who have successfully navigated the specific challenges of teaching secondary students in Dubai.</w:t>
      </w:r>
    </w:p>
    <w:p>
      <w:pPr>
        <w:pStyle w:val="FirstParagraph"/>
      </w:pPr>
      <w:r>
        <w:t xml:space="preserve">This report affirms that the Teacher Secondary is a pivotal agent of change in United Arab Emirates Dubai, driving both individual student success and national development goals through high-quality, culturally responsive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Evaluation Framework in UAE Dubai</dc:title>
  <dc:creator/>
  <dc:language>en</dc:language>
  <cp:keywords/>
  <dcterms:created xsi:type="dcterms:W3CDTF">2026-07-29T15:12:05Z</dcterms:created>
  <dcterms:modified xsi:type="dcterms:W3CDTF">2026-07-29T15:12:05Z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