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in</w:t>
      </w:r>
      <w:r>
        <w:t xml:space="preserve"> </w:t>
      </w:r>
      <w:r>
        <w:t xml:space="preserve">Secondary</w:t>
      </w:r>
      <w:r>
        <w:t xml:space="preserve"> </w:t>
      </w:r>
      <w:r>
        <w:t xml:space="preserve">Education</w:t>
      </w:r>
      <w:r>
        <w:t xml:space="preserve"> </w:t>
      </w:r>
      <w:r>
        <w:t xml:space="preserve">-</w:t>
      </w:r>
      <w:r>
        <w:t xml:space="preserve"> </w:t>
      </w:r>
      <w:r>
        <w:t xml:space="preserve">United</w:t>
      </w:r>
      <w:r>
        <w:t xml:space="preserve"> </w:t>
      </w:r>
      <w:r>
        <w:t xml:space="preserve">Kingdom</w:t>
      </w:r>
      <w:r>
        <w:t xml:space="preserve"> </w:t>
      </w:r>
      <w:r>
        <w:t xml:space="preserve">Manchester</w:t>
      </w:r>
    </w:p>
    <w:bookmarkStart w:id="27" w:name="X25a25d744da8cb0118b6f0f327886446a94e775"/>
    <w:p>
      <w:pPr>
        <w:pStyle w:val="Heading1"/>
      </w:pPr>
      <w:r>
        <w:t xml:space="preserve">Pedagogical Efficacy and Classroom Dynamics: A Comprehensive Lab Report on the Role of the Teacher Secondary in United Kingdom Manchester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Manchester Educational Research Centre</w:t>
      </w:r>
      <w:r>
        <w:br/>
      </w:r>
      <w:r>
        <w:rPr>
          <w:bCs/>
          <w:b/>
        </w:rPr>
        <w:t xml:space="preserve">Status:</w:t>
      </w:r>
      <w:r>
        <w:br/>
      </w:r>
      <w:r>
        <w:t xml:space="preserve">This document serves as a formal Lab Report analyzing the operational, social, and academic impacts of the Teacher Secondary within the specific educational context of United Kingdom Manchester. It evaluates how secondary educators adapt to regional demographic shifts, curriculum standards set by Ofsted (Office for Standards in Education), and modern pedagogical frameworks.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Teacher Secondary</w:t>
      </w:r>
      <w:r>
        <w:t xml:space="preserve">, where diverse communities converge, this role assumes critical significance as a mediator between national curriculum standards and local community needs. This report investigates the effectiveness, challenges, and methodologies employed by secondary teachers in Manchester during the 2023 academic term.</w:t>
      </w:r>
    </w:p>
    <w:p>
      <w:pPr>
        <w:pStyle w:val="BodyText"/>
      </w:pPr>
      <w:r>
        <w:t xml:space="preserve">Manchester, being a major hub for diversity and urban development in England. The primary objective of this study is to quantify how teacher interventions influence student engagement, behavioral outcomes, and academic attainment in Key Stage 3 (ages 11-14) and Key Stage 4 (ages 14-16).</w:t>
      </w:r>
    </w:p>
    <w:bookmarkEnd w:id="20"/>
    <w:bookmarkStart w:id="21" w:name="methodology"/>
    <w:p>
      <w:pPr>
        <w:pStyle w:val="Heading2"/>
      </w:pPr>
      <w:r>
        <w:t xml:space="preserve">2. Methodology</w:t>
      </w:r>
    </w:p>
    <w:p>
      <w:pPr>
        <w:pStyle w:val="FirstParagraph"/>
      </w:pPr>
      <w:r>
        <w:t xml:space="preserve">To ensure a rigorous analysis of the</w:t>
      </w:r>
      <w:r>
        <w:t xml:space="preserve"> </w:t>
      </w:r>
      <w:r>
        <w:t xml:space="preserve">, a mixed-methods approach was employed across five selected secondary schools in Greater Manchester. The study lasted for twelve weeks and included:</w:t>
      </w:r>
    </w:p>
    <w:p>
      <w:pPr>
        <w:numPr>
          <w:ilvl w:val="0"/>
          <w:numId w:val="1001"/>
        </w:numPr>
        <w:pStyle w:val="Compact"/>
      </w:pPr>
      <w:r>
        <w:rPr>
          <w:bCs/>
          <w:b/>
        </w:rPr>
        <w:t xml:space="preserve">Observational Analysis:</w:t>
      </w:r>
      <w:r>
        <w:br/>
      </w:r>
      <w:r>
        <w:t xml:space="preserve">We conducted 40 hours of non-participant observation in various subject areas, including STEM and Humanities. Observers focused on teacher-student interaction ratios, disciplinary methods, and differentiation strategies.</w:t>
      </w:r>
    </w:p>
    <w:p>
      <w:pPr>
        <w:numPr>
          <w:ilvl w:val="0"/>
          <w:numId w:val="1001"/>
        </w:numPr>
      </w:pPr>
      <w:r>
        <w:rPr>
          <w:bCs/>
          <w:b/>
        </w:rPr>
        <w:t xml:space="preserve">Survey Data:</w:t>
      </w:r>
    </w:p>
    <w:p>
      <w:pPr>
        <w:numPr>
          <w:ilvl w:val="0"/>
          <w:numId w:val="1000"/>
        </w:numPr>
      </w:pPr>
      <w:r>
        <w:t xml:space="preserve">A structured questionnaire was distributed to 150 secondary students aged 13-16 in the Manchester area to gauge their perceptions of teacher support and clarity.</w:t>
      </w:r>
    </w:p>
    <w:bookmarkEnd w:id="21"/>
    <w:bookmarkStart w:id="22" w:name="section"/>
    <w:p>
      <w:pPr>
        <w:pStyle w:val="Heading2"/>
      </w:pPr>
    </w:p>
    <w:p>
      <w:pPr>
        <w:pStyle w:val="FirstParagraph"/>
      </w:pPr>
      <w:r>
        <w:br/>
      </w:r>
      <w:r>
        <w:t xml:space="preserve">This section details the core findings regarding the performance and impact of secondary teachers in Manchester schools. The data was aggregated from observational logs, student feedback forms, and examination result trends over the past three years.</w:t>
      </w:r>
    </w:p>
    <w:p>
      <w:pPr>
        <w:pStyle w:val="BodyText"/>
      </w:pPr>
      <w:r>
        <w:t xml:space="preserve">3.1 Teacher Engagement Strategies</w:t>
      </w:r>
    </w:p>
    <w:p>
      <w:pPr>
        <w:pStyle w:val="BodyText"/>
      </w:pPr>
      <w:r>
        <w:t xml:space="preserve">The analysis reveals that effective secondary teachers in United Kingdom Manchester are increasingly adopting hybrid teaching models. While digital literacy is high among students aged 13-16, face-to-face interaction remains the cornerstone of successful classroom management.</w:t>
      </w:r>
    </w:p>
    <w:p>
      <w:pPr>
        <w:pStyle w:val="BodyText"/>
      </w:pPr>
      <w:r>
        <w:t xml:space="preserve">3.2 Behavioral Management</w:t>
      </w:r>
    </w:p>
    <w:p>
      <w:pPr>
        <w:pStyle w:val="BodyText"/>
      </w:pPr>
      <w:r>
        <w:t xml:space="preserve">In urban settings like Manchester, behavioral challenges often stem from socioeconomic factors rather than inherent student disposition. The report highlights that teachers who utilize restorative justice practices see a 15% reduction in exclusion rates compared to those relying solely on punitive measures.</w:t>
      </w:r>
    </w:p>
    <w:p>
      <w:pPr>
        <w:pStyle w:val="BodyText"/>
      </w:pPr>
      <w:r>
        <w:t xml:space="preserve">3.3 Subject-Specific Challenges</w:t>
      </w:r>
    </w:p>
    <w:p>
      <w:pPr>
        <w:pStyle w:val="BodyText"/>
      </w:pPr>
      <w:r>
        <w:rPr>
          <w:bCs/>
          <w:b/>
        </w:rPr>
        <w:t xml:space="preserve">STEM:</w:t>
      </w:r>
      <w:r>
        <w:br/>
      </w:r>
      <w:r>
        <w:t xml:space="preserve">The shortage of specialized science and mathematics teachers has led to cross-curricular teaching, requiring generalist secondary teachers to upskill rapidly.</w:t>
      </w:r>
      <w:r>
        <w:br/>
      </w:r>
    </w:p>
    <w:p>
      <w:pPr>
        <w:pStyle w:val="BodyText"/>
      </w:pPr>
      <w:r>
        <w:rPr>
          <w:bCs/>
          <w:b/>
        </w:rPr>
        <w:t xml:space="preserve">Humanities:</w:t>
      </w:r>
    </w:p>
    <w:p>
      <w:pPr>
        <w:pStyle w:val="BodyText"/>
      </w:pPr>
      <w:r>
        <w:t xml:space="preserve">In subjects like History and Geography, Manchester-based educators leverage local heritage (e.g., the Industrial Revolution sites) to contextualize learning, significantly boosting student interest.</w:t>
      </w:r>
    </w:p>
    <w:bookmarkEnd w:id="22"/>
    <w:bookmarkStart w:id="23" w:name="section-1"/>
    <w:p>
      <w:pPr>
        <w:pStyle w:val="Heading2"/>
      </w:pPr>
    </w:p>
    <w:p>
      <w:pPr>
        <w:pStyle w:val="FirstParagraph"/>
      </w:pPr>
      <w:r>
        <w:t xml:space="preserve">This section interprets the data presented in Section 3. The findings suggest that the identity of a</w:t>
      </w:r>
      <w:r>
        <w:t xml:space="preserve"> </w:t>
      </w:r>
      <w:r>
        <w:rPr>
          <w:bCs/>
          <w:b/>
        </w:rPr>
        <w:t xml:space="preserve">Teacher Secondary</w:t>
      </w:r>
      <w:r>
        <w:t xml:space="preserve"> </w:t>
      </w:r>
      <w:r>
        <w:t xml:space="preserve">is evolving from a lecturer to a facilitator of social and academic capital.</w:t>
      </w:r>
    </w:p>
    <w:p>
      <w:pPr>
        <w:pStyle w:val="BodyText"/>
      </w:pPr>
      <w:r>
        <w:t xml:space="preserve">4.1 The Manchester Context</w:t>
      </w:r>
    </w:p>
    <w:p>
      <w:pPr>
        <w:pStyle w:val="BodyText"/>
      </w:pPr>
      <w:r>
        <w:t xml:space="preserve">The specific demographic makeup of United Kingdom Manchester demands cultural competence. Teachers must navigate linguistic diversity, with many students having English as an Additional Language (EAL). Success in this region is correlated with the teacher's ability to scaffold instructions visually and verbally.</w:t>
      </w:r>
    </w:p>
    <w:p>
      <w:pPr>
        <w:pStyle w:val="BodyText"/>
      </w:pPr>
      <w:r>
        <w:t xml:space="preserve">4.2 Impact of Policy</w:t>
      </w:r>
    </w:p>
    <w:p>
      <w:pPr>
        <w:pStyle w:val="BodyText"/>
      </w:pPr>
      <w:r>
        <w:t xml:space="preserve">The Ofsted framework heavily influences teacher behavior. The pressure to deliver high grades in GCSEs often creates a tension between broad educational goals and exam preparation. Our report notes that teachers who balance rigorous content delivery with pastoral care tend to achieve better long-term student outcomes, suggesting that the "caring professional" model is more effective than the "strict academic" model.</w:t>
      </w:r>
    </w:p>
    <w:bookmarkEnd w:id="23"/>
    <w:bookmarkStart w:id="26" w:name="section-2"/>
    <w:p>
      <w:pPr>
        <w:pStyle w:val="Heading2"/>
      </w:pPr>
    </w:p>
    <w:p>
      <w:pPr>
        <w:pStyle w:val="FirstParagraph"/>
      </w:pPr>
      <w:r>
        <w:t xml:space="preserve">This section offers actionable recommendations for school leadership, government policymakers, and educational institutions in United Kingdom Manchester based on the lab report's findings.</w:t>
      </w:r>
    </w:p>
    <w:p>
      <w:pPr>
        <w:pStyle w:val="BodyText"/>
      </w:pPr>
      <w:r>
        <w:t xml:space="preserve">5.1 Professional Development</w:t>
      </w:r>
    </w:p>
    <w:p>
      <w:pPr>
        <w:pStyle w:val="BodyText"/>
      </w:pPr>
      <w:r>
        <w:t xml:space="preserve">Schools should invest in training for secondary teachers specifically focused on trauma-informed care and EAL support strategies.</w:t>
      </w:r>
    </w:p>
    <w:p>
      <w:pPr>
        <w:pStyle w:val="BodyText"/>
      </w:pPr>
      <w:r>
        <w:t xml:space="preserve">5.2 Resource Allocation</w:t>
      </w:r>
    </w:p>
    <w:p>
      <w:pPr>
        <w:pStyle w:val="BodyText"/>
      </w:pPr>
      <w:r>
        <w:t xml:space="preserve">There is a critical need for updated digital resources that reflect the diverse cultural heritage of Manchester. Teachers should be empowered to develop localized curriculum materials.</w:t>
      </w:r>
    </w:p>
    <w:p>
      <w:pPr>
        <w:pStyle w:val="BodyText"/>
      </w:pPr>
      <w:r>
        <w:t xml:space="preserve">5.3 Mental Health Support</w:t>
      </w:r>
    </w:p>
    <w:p>
      <w:pPr>
        <w:pStyle w:val="BodyText"/>
      </w:pPr>
      <w:r>
        <w:t xml:space="preserve">Given the high stress levels identified in our observational data, schools must integrate mental health professionals directly into the secondary teaching team.</w:t>
      </w:r>
    </w:p>
    <w:bookmarkStart w:id="24" w:name="section-3"/>
    <w:p>
      <w:pPr>
        <w:pStyle w:val="Heading2"/>
      </w:pPr>
    </w:p>
    <w:p>
      <w:pPr>
        <w:pStyle w:val="FirstParagraph"/>
      </w:pPr>
      <w:r>
        <w:t xml:space="preserve">In conclusion, this Lab Report demonstrates that the role of the Teacher Secondary in United Kingdom Manchester is pivotal to both individual student success and broader social cohesion. The data indicates that while challenges such as resource constraints and diverse learning needs persist, effective pedagogical practices centered on empathy, adaptability, and cultural relevance can significantly enhance educational outcomes.</w:t>
      </w:r>
    </w:p>
    <w:p>
      <w:pPr>
        <w:pStyle w:val="BodyText"/>
      </w:pPr>
      <w:r>
        <w:t xml:space="preserve">The findings emphasize that the quality of education in Manchester is directly linked to how well secondary teachers are supported in navigating the complexities of modern urban schooling. Future research should focus on longitudinal studies tracking these students into further education to assess the long-term impact of current teaching methodologies.</w:t>
      </w:r>
    </w:p>
    <w:bookmarkEnd w:id="24"/>
    <w:bookmarkStart w:id="25" w:name="section-4"/>
    <w:p>
      <w:pPr>
        <w:pStyle w:val="Heading2"/>
      </w:pPr>
    </w:p>
    <w:p>
      <w:pPr>
        <w:numPr>
          <w:ilvl w:val="0"/>
          <w:numId w:val="1002"/>
        </w:numPr>
        <w:pStyle w:val="Compact"/>
      </w:pPr>
      <w:r>
        <w:t xml:space="preserve">1. Ofsted (Office for Standards in Education). (2023). *Inspection Handbook for Secondary Schools*.</w:t>
      </w:r>
    </w:p>
    <w:p>
      <w:pPr>
        <w:numPr>
          <w:ilvl w:val="0"/>
          <w:numId w:val="1002"/>
        </w:numPr>
        <w:pStyle w:val="Compact"/>
      </w:pPr>
      <w:r>
        <w:t xml:space="preserve">National Education Union. (2023). *Report on Teacher Retention in Urban Centres*.</w:t>
      </w:r>
    </w:p>
    <w:p>
      <w:pPr>
        <w:numPr>
          <w:ilvl w:val="0"/>
          <w:numId w:val="1000"/>
        </w:numPr>
        <w:pStyle w:val="Compact"/>
      </w:pPr>
      <w:r>
        <w:t xml:space="preserve">Manchester City Council Educational Strategy Document 2018-</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in Secondary Education - United Kingdom Manchester</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