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9c666bb94fc3e9c359d32b0cc1f99de79e22c0d"/>
    <w:p>
      <w:pPr>
        <w:pStyle w:val="Heading1"/>
      </w:pPr>
      <w:r>
        <w:t xml:space="preserve">Official Laboratory Report on the Efficacy and Implementation of Teacher Secondary Frameworks in United States San Francisco Educational Institutions</w:t>
      </w:r>
    </w:p>
    <w:p>
      <w:pPr>
        <w:pStyle w:val="FirstParagraph"/>
      </w:pPr>
      <w:r>
        <w:br/>
      </w:r>
    </w:p>
    <w:p>
      <w:pPr>
        <w:pStyle w:val="BodyText"/>
      </w:pPr>
      <w:r>
        <w:rPr>
          <w:bCs/>
          <w:b/>
        </w:rPr>
        <w:t xml:space="preserve">Date:</w:t>
      </w:r>
      <w:r>
        <w:t xml:space="preserve"> </w:t>
      </w:r>
      <w:r>
        <w:t xml:space="preserve">October 24, 2023</w:t>
      </w:r>
      <w:r>
        <w:br/>
      </w:r>
      <w:r>
        <w:rPr>
          <w:bCs/>
          <w:b/>
        </w:rPr>
        <w:t xml:space="preserve">Laboratory/Institution:</w:t>
      </w:r>
      <w:r>
        <w:t xml:space="preserve"> </w:t>
      </w:r>
      <w:r>
        <w:t xml:space="preserve">Center for Urban Educational Research</w:t>
      </w:r>
      <w:r>
        <w:br/>
      </w:r>
      <w:r>
        <w:rPr>
          <w:bCs/>
          <w:b/>
        </w:rPr>
        <w:t xml:space="preserve">Subject:</w:t>
      </w:r>
      <w:r>
        <w:t xml:space="preserve"> </w:t>
      </w:r>
      <w:r>
        <w:t xml:space="preserve">Pedagogical Evaluation of the</w:t>
      </w:r>
      <w:r>
        <w:t xml:space="preserve"> </w:t>
      </w:r>
      <w:r>
        <w:rPr>
          <w:iCs/>
          <w:i/>
        </w:rPr>
        <w:t xml:space="preserve">Teacher Secondary</w:t>
      </w:r>
      <w:r>
        <w:t xml:space="preserve"> </w:t>
      </w:r>
      <w:r>
        <w:t xml:space="preserve">Model in High School Settings</w:t>
      </w:r>
    </w:p>
    <w:p>
      <w:pPr>
        <w:pStyle w:val="BodyText"/>
      </w:pPr>
      <w:r>
        <w:br/>
      </w:r>
    </w:p>
    <w:bookmarkEnd w:id="20"/>
    <w:bookmarkStart w:id="21" w:name="executive-summary"/>
    <w:p>
      <w:pPr>
        <w:pStyle w:val="Heading1"/>
      </w:pPr>
      <w:r>
        <w:t xml:space="preserve">1. Executive Summary</w:t>
      </w:r>
    </w:p>
    <w:p>
      <w:pPr>
        <w:pStyle w:val="FirstParagraph"/>
      </w:pPr>
      <w:r>
        <w:br/>
      </w:r>
      <w:r>
        <w:t xml:space="preserve">This comprehensive laboratory report details the findings of a rigorous empirical study conducted within the diverse educational landscape of</w:t>
      </w:r>
      <w:r>
        <w:t xml:space="preserve"> </w:t>
      </w:r>
      <w:r>
        <w:rPr>
          <w:bCs/>
          <w:b/>
        </w:rPr>
        <w:t xml:space="preserve">United States San Francisco</w:t>
      </w:r>
      <w:r>
        <w:t xml:space="preserve">. The primary objective was to evaluate the structural, academic, and social outcomes associated with implementing advanced secondary-level teacher certification protocols. As</w:t>
      </w:r>
      <w:r>
        <w:t xml:space="preserve"> </w:t>
      </w:r>
      <w:r>
        <w:rPr>
          <w:bCs/>
          <w:b/>
        </w:rPr>
        <w:t xml:space="preserve">Teacher Secondary frameworks become increasingly pivotal in addressing the complex needs of adolescents in urban environments, understanding their localized application is critical. This document synthesizes data regarding classroom dynamics, standardized test performance, and student engagement metrics across five distinct high schools within the San Francisco Unified School District (SFUSD). Our findings indicate that a robust implementation of the</w:t>
      </w:r>
      <w:r>
        <w:rPr>
          <w:bCs/>
          <w:b/>
        </w:rPr>
        <w:t xml:space="preserve"> </w:t>
      </w:r>
      <w:r>
        <w:rPr>
          <w:bCs/>
          <w:b/>
          <w:bCs/>
          <w:b/>
        </w:rPr>
        <w:t xml:space="preserve">Teacher Secondary</w:t>
      </w:r>
      <w:r>
        <w:rPr>
          <w:bCs/>
          <w:b/>
        </w:rPr>
        <w:t xml:space="preserve"> </w:t>
      </w:r>
      <w:r>
        <w:rPr>
          <w:bCs/>
          <w:b/>
        </w:rPr>
        <w:t xml:space="preserve">model significantly enhances both pedagogical independence and subject-matter proficiency among students.</w:t>
      </w:r>
      <w:r>
        <w:br/>
      </w:r>
      <w:r>
        <w:br/>
      </w:r>
    </w:p>
    <w:bookmarkEnd w:id="21"/>
    <w:bookmarkStart w:id="22" w:name="introduction-and-background"/>
    <w:p>
      <w:pPr>
        <w:pStyle w:val="Heading1"/>
      </w:pPr>
      <w:r>
        <w:t xml:space="preserve">2. Introduction and Background</w:t>
      </w:r>
    </w:p>
    <w:p>
      <w:pPr>
        <w:pStyle w:val="FirstParagraph"/>
      </w:pPr>
      <w:r>
        <w:br/>
      </w:r>
      <w:r>
        <w:t xml:space="preserve">The educational ecosystem in the</w:t>
      </w:r>
      <w:r>
        <w:t xml:space="preserve"> </w:t>
      </w:r>
      <w:r>
        <w:rPr>
          <w:bCs/>
          <w:b/>
        </w:rPr>
        <w:t xml:space="preserve">United States San Francisco</w:t>
      </w:r>
      <w:r>
        <w:t xml:space="preserve">, particularly within its metropolitan core, is characterized by high socioeconomic diversity and rigorous academic standards. Consequently, the role of secondary educators has evolved from mere content delivery to comprehensive mentorship and interdisciplinary instruction. The concept of</w:t>
      </w:r>
      <w:r>
        <w:t xml:space="preserve"> </w:t>
      </w:r>
      <w:r>
        <w:rPr>
          <w:bCs/>
          <w:b/>
        </w:rPr>
        <w:t xml:space="preserve">Teacher Secondary</w:t>
      </w:r>
      <w:r>
        <w:t xml:space="preserve"> </w:t>
      </w:r>
      <w:r>
        <w:t xml:space="preserve">in this context refers not merely to the teaching level (secondary/high school), but specifically to a specialized tier of pedagogical training that emphasizes advanced differentiation, crisis intervention, and digital integration.</w:t>
      </w:r>
      <w:r>
        <w:br/>
      </w:r>
      <w:r>
        <w:br/>
      </w:r>
      <w:r>
        <w:t xml:space="preserve">Historically, teacher preparation programs have treated secondary education as a monolithic category. However, emerging data suggests that educators who undergo specific</w:t>
      </w:r>
      <w:r>
        <w:t xml:space="preserve"> </w:t>
      </w:r>
      <w:r>
        <w:rPr>
          <w:bCs/>
          <w:b/>
        </w:rPr>
        <w:t xml:space="preserve">Teacher Secondary</w:t>
      </w:r>
      <w:r>
        <w:t xml:space="preserve"> </w:t>
      </w:r>
      <w:r>
        <w:t xml:space="preserve">training—focused on adolescent psychology and specialized STEM or humanities methodologies—yield superior results compared to generalist secondary teachers. This report aims to quantify these differences within the unique cultural and logistical framework of</w:t>
      </w:r>
    </w:p>
    <w:p>
      <w:pPr>
        <w:pStyle w:val="BodyText"/>
      </w:pPr>
      <w:r>
        <w:t xml:space="preserve">United States San Francisco.</w:t>
      </w:r>
    </w:p>
    <w:p>
      <w:pPr>
        <w:pStyle w:val="BodyText"/>
      </w:pPr>
      <w:r>
        <w:br/>
      </w:r>
    </w:p>
    <w:bookmarkEnd w:id="22"/>
    <w:bookmarkStart w:id="23" w:name="methodology"/>
    <w:p>
      <w:pPr>
        <w:pStyle w:val="Heading1"/>
      </w:pPr>
      <w:r>
        <w:t xml:space="preserve">3. Methodology</w:t>
      </w:r>
    </w:p>
    <w:p>
      <w:pPr>
        <w:pStyle w:val="FirstParagraph"/>
      </w:pPr>
      <w:r>
        <w:br/>
      </w:r>
      <w:r>
        <w:t xml:space="preserve">To ensure the integrity of this laboratory report, a mixed-methods approach was employed over a twelve-month period across five representative high schools in</w:t>
      </w:r>
      <w:r>
        <w:t xml:space="preserve"> </w:t>
      </w:r>
      <w:r>
        <w:rPr>
          <w:bCs/>
          <w:b/>
        </w:rPr>
        <w:t xml:space="preserve">United States San Francisco. These included both traditional comprehensive high schools and specialized magnet institutions.</w:t>
      </w:r>
      <w:r>
        <w:br/>
      </w:r>
      <w:r>
        <w:br/>
      </w:r>
      <w:r>
        <w:rPr>
          <w:bCs/>
          <w:b/>
          <w:bCs/>
          <w:b/>
        </w:rPr>
        <w:t xml:space="preserve">3.1 Participant Selection:</w:t>
      </w:r>
      <w:r>
        <w:br/>
      </w:r>
      <w:r>
        <w:rPr>
          <w:bCs/>
          <w:b/>
        </w:rPr>
        <w:t xml:space="preserve">A total of 45 classrooms were selected, comprising 90 teachers. Half of the cohort underwent a newly developed</w:t>
      </w:r>
      <w:r>
        <w:rPr>
          <w:bCs/>
          <w:b/>
        </w:rPr>
        <w:t xml:space="preserve"> </w:t>
      </w:r>
      <w:r>
        <w:rPr>
          <w:bCs/>
          <w:b/>
          <w:bCs/>
          <w:b/>
        </w:rPr>
        <w:t xml:space="preserve">Teacher Secondary intensive workshop series focusing on adaptive learning technologies and culturally responsive teaching practices tailored to San Francisco's demographic makeup. The control group consisted of teachers adhering to standard state certification protocols.</w:t>
      </w:r>
      <w:r>
        <w:br/>
      </w:r>
      <w:r>
        <w:br/>
      </w:r>
      <w:r>
        <w:rPr>
          <w:bCs/>
          <w:b/>
          <w:bCs/>
          <w:b/>
          <w:bCs/>
          <w:b/>
        </w:rPr>
        <w:t xml:space="preserve">3.2 Data Collection:</w:t>
      </w:r>
      <w:r>
        <w:br/>
      </w:r>
      <w:r>
        <w:rPr>
          <w:bCs/>
          <w:b/>
          <w:bCs/>
          <w:b/>
        </w:rPr>
        <w:t xml:space="preserve">Quantitative data was gathered through quarterly standardized assessments in mathematics and English Language Arts (ELA). Qualitative data was collected via teacher self-assessments, student climate surveys, and direct classroom observations conducted by independent evaluators. All data collection procedures were approved by the Institutional Review Board to ensure ethical compliance.</w:t>
      </w:r>
      <w:r>
        <w:br/>
      </w:r>
      <w:r>
        <w:br/>
      </w:r>
    </w:p>
    <w:bookmarkEnd w:id="23"/>
    <w:bookmarkStart w:id="24" w:name="results"/>
    <w:p>
      <w:pPr>
        <w:pStyle w:val="Heading1"/>
      </w:pPr>
      <w:r>
        <w:t xml:space="preserve">4. Results</w:t>
      </w:r>
    </w:p>
    <w:p>
      <w:pPr>
        <w:pStyle w:val="FirstParagraph"/>
      </w:pPr>
      <w:r>
        <w:br/>
      </w:r>
      <w:r>
        <w:t xml:space="preserve">The analysis of the gathered data reveals several statistically significant trends supporting the efficacy of specialized training within the</w:t>
      </w:r>
    </w:p>
    <w:p>
      <w:pPr>
        <w:pStyle w:val="BodyText"/>
      </w:pPr>
      <w:r>
        <w:t xml:space="preserve">Teacher Secondary framework.</w:t>
      </w:r>
      <w:r>
        <w:br/>
      </w:r>
      <w:r>
        <w:br/>
      </w:r>
      <w:r>
        <w:rPr>
          <w:bCs/>
          <w:b/>
        </w:rPr>
        <w:t xml:space="preserve">4.1 Academic Performance:</w:t>
      </w:r>
      <w:r>
        <w:br/>
      </w:r>
      <w:r>
        <w:t xml:space="preserve">Students taught by educators who completed the specialized</w:t>
      </w:r>
    </w:p>
    <w:p>
      <w:pPr>
        <w:pStyle w:val="BodyText"/>
      </w:pPr>
      <w:r>
        <w:t xml:space="preserve">Teacher Secondary certification demonstrated a 12% higher improvement in standardized test scores compared to the control group. In subjects such as Advanced Placement (AP) Biology and Literature, this gap widened to 18%, suggesting that deep subject-matter pedagogical training is crucial for secondary-level rigor.</w:t>
      </w:r>
      <w:r>
        <w:br/>
      </w:r>
      <w:r>
        <w:br/>
      </w:r>
      <w:r>
        <w:rPr>
          <w:bCs/>
          <w:b/>
        </w:rPr>
        <w:t xml:space="preserve">4.2 Student Engagement and Climate:</w:t>
      </w:r>
      <w:r>
        <w:br/>
      </w:r>
      <w:r>
        <w:t xml:space="preserve">Surveys indicated a marked increase in student sense of belonging among those taught by</w:t>
      </w:r>
    </w:p>
    <w:p>
      <w:pPr>
        <w:pStyle w:val="BodyText"/>
      </w:pPr>
      <w:r>
        <w:t xml:space="preserve">Teacher Secondary-trained educators. Specifically, 78% of students reported feeling "more understood" by their teachers, contrasting with only 52% in the control group. This aligns with the program’s emphasis on adolescent development and mental health awareness, which is particularly relevant given the unique stressors faced by youth in</w:t>
      </w:r>
    </w:p>
    <w:p>
      <w:pPr>
        <w:pStyle w:val="BodyText"/>
      </w:pPr>
      <w:r>
        <w:t xml:space="preserve">United States San Francisco.</w:t>
      </w:r>
    </w:p>
    <w:p>
      <w:pPr>
        <w:pStyle w:val="BodyText"/>
      </w:pPr>
      <w:r>
        <w:br/>
      </w:r>
      <w:r>
        <w:rPr>
          <w:bCs/>
          <w:b/>
        </w:rPr>
        <w:t xml:space="preserve">4.3 Teacher Retention:</w:t>
      </w:r>
      <w:r>
        <w:br/>
      </w:r>
      <w:r>
        <w:t xml:space="preserve">Interestingly, teacher retention rates were 15% higher in the experimental group over the academic year. The specialized support and community building inherent to the</w:t>
      </w:r>
      <w:r>
        <w:t xml:space="preserve"> </w:t>
      </w:r>
      <w:r>
        <w:rPr>
          <w:bCs/>
          <w:b/>
        </w:rPr>
        <w:t xml:space="preserve">Teacher Secondary professional learning communities appear to mitigate burnout, a persistent challenge in urban education sectors.</w:t>
      </w:r>
      <w:r>
        <w:br/>
      </w:r>
      <w:r>
        <w:br/>
      </w:r>
    </w:p>
    <w:bookmarkEnd w:id="24"/>
    <w:bookmarkStart w:id="25" w:name="discussion"/>
    <w:p>
      <w:pPr>
        <w:pStyle w:val="Heading1"/>
      </w:pPr>
      <w:r>
        <w:t xml:space="preserve">5. Discussion</w:t>
      </w:r>
    </w:p>
    <w:p>
      <w:pPr>
        <w:pStyle w:val="FirstParagraph"/>
      </w:pPr>
      <w:r>
        <w:br/>
      </w:r>
      <w:r>
        <w:t xml:space="preserve">The results underscore the necessity of refining teacher preparation models specifically for secondary education within major metropolitan areas like</w:t>
      </w:r>
      <w:r>
        <w:t xml:space="preserve"> </w:t>
      </w:r>
      <w:r>
        <w:rPr>
          <w:bCs/>
          <w:b/>
        </w:rPr>
        <w:t xml:space="preserve">United States San Francisco. The traditional one-size-fits-all approach to teacher certification fails to address the nuanced realities of high school classrooms, which serve as a bridge between foundational learning and higher education or workforce entry.</w:t>
      </w:r>
      <w:r>
        <w:br/>
      </w:r>
      <w:r>
        <w:br/>
      </w:r>
      <w:r>
        <w:rPr>
          <w:bCs/>
          <w:b/>
        </w:rPr>
        <w:t xml:space="preserve">The success of the</w:t>
      </w:r>
      <w:r>
        <w:rPr>
          <w:bCs/>
          <w:b/>
        </w:rPr>
        <w:t xml:space="preserve"> </w:t>
      </w:r>
      <w:r>
        <w:rPr>
          <w:bCs/>
          <w:b/>
          <w:bCs/>
          <w:b/>
        </w:rPr>
        <w:t xml:space="preserve">Teacher Secondary model in this context can be attributed to its focus on adaptability. In</w:t>
      </w:r>
      <w:r>
        <w:rPr>
          <w:bCs/>
          <w:b/>
          <w:bCs/>
          <w:b/>
        </w:rPr>
        <w:t xml:space="preserve"> </w:t>
      </w:r>
      <w:r>
        <w:rPr>
          <w:bCs/>
          <w:b/>
          <w:bCs/>
          <w:b/>
          <w:bCs/>
          <w:b/>
        </w:rPr>
        <w:t xml:space="preserve">United States San Francisco, educators must navigate rapid technological changes, diverse linguistic backgrounds (with over 60 languages spoken in homes), and varying socioeconomic statuses. The specialized training provided teachers with the tools to differentiate instruction effectively, ensuring that no student was left behind due to pedagogical rigidity.</w:t>
      </w:r>
      <w:r>
        <w:br/>
      </w:r>
      <w:r>
        <w:br/>
      </w:r>
      <w:r>
        <w:rPr>
          <w:bCs/>
          <w:b/>
          <w:bCs/>
          <w:b/>
          <w:bCs/>
          <w:b/>
        </w:rPr>
        <w:t xml:space="preserve">Furthermore, this laboratory report highlights the importance of continuous professional development. The</w:t>
      </w:r>
      <w:r>
        <w:rPr>
          <w:bCs/>
          <w:b/>
          <w:bCs/>
          <w:b/>
          <w:bCs/>
          <w:b/>
        </w:rPr>
        <w:t xml:space="preserve"> </w:t>
      </w:r>
      <w:r>
        <w:rPr>
          <w:bCs/>
          <w:b/>
          <w:bCs/>
          <w:b/>
          <w:bCs/>
          <w:b/>
          <w:bCs/>
          <w:b/>
        </w:rPr>
        <w:t xml:space="preserve">Teacher Secondary framework is not a static certification but a dynamic process of growth. Schools that invested in ongoing workshops and peer-mentoring programs saw sustained improvements in student outcomes, whereas those with one-time training sessions saw gains diminish over time.</w:t>
      </w:r>
      <w:r>
        <w:br/>
      </w:r>
      <w:r>
        <w:br/>
      </w:r>
    </w:p>
    <w:bookmarkEnd w:id="25"/>
    <w:bookmarkStart w:id="26" w:name="challenges-and-limitations"/>
    <w:p>
      <w:pPr>
        <w:pStyle w:val="Heading1"/>
      </w:pPr>
      <w:r>
        <w:t xml:space="preserve">6. Challenges and Limitations</w:t>
      </w:r>
    </w:p>
    <w:p>
      <w:pPr>
        <w:pStyle w:val="FirstParagraph"/>
      </w:pPr>
      <w:r>
        <w:br/>
      </w:r>
      <w:r>
        <w:t xml:space="preserve">While the findings are promising, this laboratory report acknowledges certain limitations. The sample size, though robust for a pilot study, may not fully represent the entirety of</w:t>
      </w:r>
      <w:r>
        <w:t xml:space="preserve"> </w:t>
      </w:r>
      <w:r>
        <w:rPr>
          <w:bCs/>
          <w:b/>
        </w:rPr>
        <w:t xml:space="preserve">United States San Francisco, particularly rural-adjacent educational zones within the broader county. Additionally, external factors such as school funding levels and administrative support varied across participating schools, potentially influencing results.</w:t>
      </w:r>
      <w:r>
        <w:br/>
      </w:r>
      <w:r>
        <w:br/>
      </w:r>
      <w:r>
        <w:rPr>
          <w:bCs/>
          <w:b/>
        </w:rPr>
        <w:t xml:space="preserve">There was also an initial resistance to change among veteran teachers accustomed to traditional methods. Integrating the</w:t>
      </w:r>
      <w:r>
        <w:rPr>
          <w:bCs/>
          <w:b/>
        </w:rPr>
        <w:t xml:space="preserve"> </w:t>
      </w:r>
      <w:r>
        <w:rPr>
          <w:bCs/>
          <w:b/>
          <w:bCs/>
          <w:b/>
        </w:rPr>
        <w:t xml:space="preserve">Teacher Secondary protocols required significant time and emotional labor from administrators. Future iterations of this study should focus on strategies for smoother integration of advanced pedagogical frameworks into established school cultures.</w:t>
      </w:r>
      <w:r>
        <w:br/>
      </w:r>
      <w:r>
        <w:br/>
      </w:r>
    </w:p>
    <w:bookmarkEnd w:id="26"/>
    <w:bookmarkStart w:id="27" w:name="conclusion-and-recommendations"/>
    <w:p>
      <w:pPr>
        <w:pStyle w:val="Heading1"/>
      </w:pPr>
      <w:r>
        <w:t xml:space="preserve">7. Conclusion and Recommendations</w:t>
      </w:r>
    </w:p>
    <w:p>
      <w:pPr>
        <w:pStyle w:val="FirstParagraph"/>
      </w:pPr>
      <w:r>
        <w:br/>
      </w:r>
      <w:r>
        <w:t xml:space="preserve">This laboratory report conclusively demonstrates that enhancing the qualifications and specialized training of secondary educators yields measurable benefits for students in</w:t>
      </w:r>
    </w:p>
    <w:p>
      <w:pPr>
        <w:pStyle w:val="BodyText"/>
      </w:pPr>
      <w:r>
        <w:t xml:space="preserve">United States San Francisco. The</w:t>
      </w:r>
    </w:p>
    <w:p>
      <w:pPr>
        <w:pStyle w:val="BodyText"/>
      </w:pPr>
      <w:r>
        <w:t xml:space="preserve">Teacher Secondary model, with its focus on advanced differentiation, adolescent psychology, and technological integration, represents a vital evolution in urban teacher preparation.</w:t>
      </w:r>
      <w:r>
        <w:br/>
      </w:r>
      <w:r>
        <w:br/>
      </w:r>
      <w:r>
        <w:rPr>
          <w:bCs/>
          <w:b/>
        </w:rPr>
        <w:t xml:space="preserve">Recommendations:</w:t>
      </w:r>
      <w:r>
        <w:br/>
      </w:r>
      <w:r>
        <w:t xml:space="preserve">1.</w:t>
      </w:r>
      <w:r>
        <w:t xml:space="preserve"> </w:t>
      </w:r>
      <w:r>
        <w:rPr>
          <w:bCs/>
          <w:b/>
        </w:rPr>
        <w:t xml:space="preserve">District-Wide Adoption:</w:t>
      </w:r>
      <w:r>
        <w:t xml:space="preserve"> </w:t>
      </w:r>
      <w:r>
        <w:t xml:space="preserve">The San Francisco Unified School District should mandate specialized</w:t>
      </w:r>
    </w:p>
    <w:p>
      <w:pPr>
        <w:pStyle w:val="BodyText"/>
      </w:pPr>
      <w:r>
        <w:t xml:space="preserve">Teacher Secondary certification for all high school teachers within the next five years.</w:t>
      </w:r>
      <w:r>
        <w:br/>
      </w:r>
      <w:r>
        <w:br/>
      </w:r>
      <w:r>
        <w:t xml:space="preserve">2.</w:t>
      </w:r>
      <w:r>
        <w:t xml:space="preserve"> </w:t>
      </w:r>
      <w:r>
        <w:rPr>
          <w:bCs/>
          <w:b/>
        </w:rPr>
        <w:t xml:space="preserve">Funding Allocation:</w:t>
      </w:r>
      <w:r>
        <w:t xml:space="preserve"> </w:t>
      </w:r>
      <w:r>
        <w:t xml:space="preserve">Increased budgetary resources must be directed toward ongoing professional development workshops that reinforce</w:t>
      </w:r>
    </w:p>
    <w:p>
      <w:pPr>
        <w:pStyle w:val="BodyText"/>
      </w:pPr>
      <w:r>
        <w:t xml:space="preserve">Teacher Secondary</w:t>
      </w:r>
    </w:p>
    <w:p>
      <w:pPr>
        <w:pStyle w:val="BodyText"/>
      </w:pPr>
      <w:r>
        <w:t xml:space="preserve">) competencies.</w:t>
      </w:r>
      <w:r>
        <w:br/>
      </w:r>
      <w:r>
        <w:br/>
      </w:r>
      <w:r>
        <w:t xml:space="preserve">3.</w:t>
      </w:r>
      <w:r>
        <w:t xml:space="preserve"> </w:t>
      </w:r>
      <w:r>
        <w:rPr>
          <w:bCs/>
          <w:b/>
        </w:rPr>
        <w:t xml:space="preserve">Policy Review:</w:t>
      </w:r>
      <w:r>
        <w:t xml:space="preserve"> </w:t>
      </w:r>
      <w:r>
        <w:t xml:space="preserve">State educational boards in the United States should consider adopting similar specialized frameworks for secondary education to address the growing complexity of high school curricula.</w:t>
      </w:r>
      <w:r>
        <w:br/>
      </w:r>
      <w:r>
        <w:br/>
      </w:r>
      <w:r>
        <w:t xml:space="preserve">4.</w:t>
      </w:r>
      <w:r>
        <w:t xml:space="preserve"> </w:t>
      </w:r>
      <w:r>
        <w:rPr>
          <w:bCs/>
          <w:b/>
        </w:rPr>
        <w:t xml:space="preserve">Community Partnership:</w:t>
      </w:r>
      <w:r>
        <w:t xml:space="preserve"> </w:t>
      </w:r>
      <w:r>
        <w:t xml:space="preserve">Schools should partner with local universities and tech firms in</w:t>
      </w:r>
    </w:p>
    <w:p>
      <w:pPr>
        <w:pStyle w:val="BodyText"/>
      </w:pPr>
      <w:hyperlink w:anchor="Xa39a3ee5e6b4b0d3255bfef95601890afd80709">
        <w:r>
          <w:rPr>
            <w:rStyle w:val="Hyperlink"/>
          </w:rPr>
          <w:t xml:space="preserve">United States San Francisco</w:t>
        </w:r>
      </w:hyperlink>
      <w:r>
        <w:t xml:space="preserve"> </w:t>
      </w:r>
      <w:r>
        <w:t xml:space="preserve">to provide real-world applications for students, further enriching the</w:t>
      </w:r>
    </w:p>
    <w:p>
      <w:pPr>
        <w:pStyle w:val="BodyText"/>
      </w:pPr>
      <w:r>
        <w:t xml:space="preserve">Teacher Secondary</w:t>
      </w:r>
    </w:p>
    <w:p>
      <w:pPr>
        <w:pStyle w:val="BodyText"/>
      </w:pPr>
      <w:r>
        <w:rPr>
          <w:iCs/>
          <w:i/>
        </w:rPr>
        <w:t xml:space="preserve">&gt; classroom experience.</w:t>
      </w:r>
      <w:r>
        <w:br/>
      </w:r>
      <w:r>
        <w:br/>
      </w:r>
      <w:r>
        <w:rPr>
          <w:iCs/>
          <w:i/>
        </w:rPr>
        <w:t xml:space="preserve">In conclusion, investing in the professional capacity of secondary educators is not merely an administrative adjustment but a fundamental strategy for educational equity and excellence. As we look toward the future of learning in</w:t>
      </w:r>
      <w:r>
        <w:rPr>
          <w:iCs/>
          <w:i/>
        </w:rPr>
        <w:t xml:space="preserve"> </w:t>
      </w:r>
      <w:r>
        <w:rPr>
          <w:bCs/>
          <w:b/>
          <w:iCs/>
          <w:i/>
        </w:rPr>
        <w:t xml:space="preserve">United States San Francisco, the</w:t>
      </w:r>
      <w:r>
        <w:rPr>
          <w:bCs/>
          <w:b/>
          <w:iCs/>
          <w:i/>
        </w:rPr>
        <w:t xml:space="preserve"> </w:t>
      </w:r>
      <w:r>
        <w:rPr>
          <w:bCs/>
          <w:b/>
          <w:bCs/>
          <w:b/>
          <w:iCs/>
          <w:i/>
        </w:rPr>
        <w:t xml:space="preserve">Teacher Secondary framework offers a proven pathway to empowering both teachers and students.</w:t>
      </w:r>
      <w:r>
        <w:br/>
      </w:r>
      <w:r>
        <w:br/>
      </w:r>
      <w:r>
        <w:rPr>
          <w:bCs/>
          <w:b/>
          <w:bCs/>
          <w:b/>
          <w:bCs/>
          <w:b/>
          <w:iCs/>
          <w:i/>
        </w:rPr>
        <w:t xml:space="preserve">Signed:</w:t>
      </w:r>
      <w:r>
        <w:br/>
      </w:r>
      <w:r>
        <w:rPr>
          <w:iCs/>
          <w:i/>
          <w:bCs/>
          <w:b/>
          <w:bCs/>
          <w:b/>
          <w:iCs/>
          <w:i/>
        </w:rPr>
        <w:t xml:space="preserve">Jane Doe, Ph.D.</w:t>
      </w:r>
      <w:r>
        <w:br/>
      </w:r>
      <w:r>
        <w:rPr>
          <w:bCs/>
          <w:b/>
          <w:bCs/>
          <w:b/>
          <w:iCs/>
          <w:i/>
        </w:rPr>
        <w:t xml:space="preserve">Principal Investigator</w:t>
      </w:r>
      <w:r>
        <w:br/>
      </w:r>
      <w:r>
        <w:rPr>
          <w:bCs/>
          <w:b/>
          <w:bCs/>
          <w:b/>
          <w:iCs/>
          <w:i/>
        </w:rPr>
        <w:t xml:space="preserve">Center for Urban Educational Research</w:t>
      </w:r>
      <w:r>
        <w:br/>
      </w:r>
    </w:p>
    <w:p>
      <w:r>
        <w:pict>
          <v:rect style="width:0;height:1.5pt" o:hralign="center" o:hrstd="t" o:hr="t"/>
        </w:pict>
      </w:r>
    </w:p>
    <w:p>
      <w:pPr>
        <w:pStyle w:val="FirstParagraph"/>
      </w:pPr>
      <w:r>
        <w:rPr>
          <w:bCs/>
          <w:b/>
        </w:rPr>
        <w:t xml:space="preserve">Disclaimer:</w:t>
      </w:r>
      <w:r>
        <w:t xml:space="preserve"> </w:t>
      </w:r>
      <w:r>
        <w:t xml:space="preserve">This document is a simulated laboratory report created for illustrative purposes in accordance with specific formatting instructions. Any resemblance to actual persons or events is coincidental.</w:t>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Analysis in United States San Francisco</dc:title>
  <dc:creator/>
  <dc:language>en</dc:language>
  <cp:keywords/>
  <dcterms:created xsi:type="dcterms:W3CDTF">2026-07-29T16:07:27Z</dcterms:created>
  <dcterms:modified xsi:type="dcterms:W3CDTF">2026-07-29T16:07:27Z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