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Education</w:t>
      </w:r>
      <w:r>
        <w:t xml:space="preserve"> </w:t>
      </w:r>
      <w:r>
        <w:t xml:space="preserve">Teacher</w:t>
      </w:r>
      <w:r>
        <w:t xml:space="preserve"> </w:t>
      </w:r>
      <w:r>
        <w:t xml:space="preserve">Evaluation</w:t>
      </w:r>
      <w:r>
        <w:t xml:space="preserve"> </w:t>
      </w:r>
      <w:r>
        <w:t xml:space="preserve">in</w:t>
      </w:r>
      <w:r>
        <w:t xml:space="preserve"> </w:t>
      </w:r>
      <w:r>
        <w:t xml:space="preserve">Tashkent</w:t>
      </w:r>
    </w:p>
    <w:p>
      <w:pPr>
        <w:pStyle w:val="FirstParagraph"/>
      </w:pPr>
      <w:r>
        <w:t xml:space="preserve">```html</w:t>
      </w:r>
    </w:p>
    <w:bookmarkStart w:id="31" w:name="the-secondary-teacher-laboratory-report"/>
    <w:p>
      <w:pPr>
        <w:pStyle w:val="Heading1"/>
      </w:pPr>
      <w:r>
        <w:t xml:space="preserve">The Secondary Teacher Laboratory Report</w:t>
      </w:r>
    </w:p>
    <w:p>
      <w:pPr>
        <w:pStyle w:val="FirstParagraph"/>
      </w:pPr>
      <w:r>
        <w:t xml:space="preserve">This comprehensive document serves as an official</w:t>
      </w:r>
      <w:r>
        <w:t xml:space="preserve"> </w:t>
      </w:r>
      <w:r>
        <w:rPr>
          <w:bCs/>
          <w:b/>
        </w:rPr>
        <w:t xml:space="preserve">Laboratory Report</w:t>
      </w:r>
      <w:r>
        <w:t xml:space="preserve">, meticulously designed to analyze the pedagogical framework, classroom dynamics, and curriculum alignment for secondary education within the bustling educational landscape of</w:t>
      </w:r>
      <w:r>
        <w:t xml:space="preserve"> </w:t>
      </w:r>
      <w:r>
        <w:rPr>
          <w:bCs/>
          <w:b/>
        </w:rPr>
        <w:t xml:space="preserve">Tashkent, Uzbekistan</w:t>
      </w:r>
      <w:r>
        <w:t xml:space="preserve">. By treating the secondary classroom as a controlled experimental environment—a "Lab"—we can isolate specific variables such as student engagement, digital integration efficacy, and cultural adaptability. This report aims to provide actionable insights for optimizing the role of a Secondary Teacher in</w:t>
      </w:r>
      <w:r>
        <w:t xml:space="preserve"> </w:t>
      </w:r>
      <w:r>
        <w:rPr>
          <w:bCs/>
          <w:b/>
        </w:rPr>
        <w:t xml:space="preserve">Tashkent</w:t>
      </w:r>
      <w:r>
        <w:t xml:space="preserve">, ensuring that educational outcomes are both measurable and impactful.</w:t>
      </w:r>
    </w:p>
    <w:bookmarkStart w:id="20" w:name="X8e0d76a1a7ed7a16ce73057dbb4375c82bc41c3"/>
    <w:p>
      <w:pPr>
        <w:pStyle w:val="Heading2"/>
      </w:pPr>
      <w:r>
        <w:t xml:space="preserve">1. Introduction: The Classroom as a Laboratory</w:t>
      </w:r>
    </w:p>
    <w:p>
      <w:pPr>
        <w:pStyle w:val="FirstParagraph"/>
      </w:pPr>
      <w:r>
        <w:t xml:space="preserve">In the context of modern pedagogy, the secondary classroom operates much like a scientific laboratory. Just as researchers test hypotheses under controlled conditions, Secondary Teachers in</w:t>
      </w:r>
      <w:r>
        <w:t xml:space="preserve"> </w:t>
      </w:r>
      <w:r>
        <w:rPr>
          <w:bCs/>
          <w:b/>
        </w:rPr>
        <w:t xml:space="preserve">Tashkent</w:t>
      </w:r>
      <w:r>
        <w:t xml:space="preserve">, Uzbekistan must continuously experiment with instructional strategies to determine what works best for diverse student populations. The unique sociocultural fabric of Uzbekistan presents distinct variables that influence learning outcomes.</w:t>
      </w:r>
    </w:p>
    <w:p>
      <w:pPr>
        <w:pStyle w:val="BodyText"/>
      </w:pPr>
      <w:r>
        <w:t xml:space="preserve">This</w:t>
      </w:r>
      <w:r>
        <w:t xml:space="preserve"> </w:t>
      </w:r>
      <w:r>
        <w:rPr>
          <w:bCs/>
          <w:b/>
        </w:rPr>
        <w:t xml:space="preserve">Laboratory Report</w:t>
      </w:r>
      <w:r>
        <w:t xml:space="preserve"> </w:t>
      </w:r>
      <w:r>
        <w:t xml:space="preserve">is structured to document the findings of an observational study conducted across three secondary schools in the capital city,</w:t>
      </w:r>
      <w:r>
        <w:t xml:space="preserve"> </w:t>
      </w:r>
      <w:r>
        <w:rPr>
          <w:bCs/>
          <w:b/>
        </w:rPr>
        <w:t xml:space="preserve">Tashkent</w:t>
      </w:r>
      <w:r>
        <w:t xml:space="preserve">. The primary objective is to evaluate how effectively Secondary Teachers are transitioning from traditional rote-learning methods to student-centered, competency-based approaches mandated by recent educational reforms in Uzbekistan.</w:t>
      </w:r>
    </w:p>
    <w:bookmarkEnd w:id="20"/>
    <w:bookmarkStart w:id="22" w:name="methodology"/>
    <w:p>
      <w:pPr>
        <w:pStyle w:val="Heading2"/>
      </w:pPr>
      <w:r>
        <w:t xml:space="preserve">2. Methodology</w:t>
      </w:r>
    </w:p>
    <w:p>
      <w:pPr>
        <w:pStyle w:val="FirstParagraph"/>
      </w:pPr>
      <w:r>
        <w:t xml:space="preserve">The data presented in this report was collected over a period of six months. Observations were conducted in secondary schools located in the Mirzo Ulugbek and Yunusabad districts of</w:t>
      </w:r>
      <w:r>
        <w:t xml:space="preserve"> </w:t>
      </w:r>
      <w:r>
        <w:rPr>
          <w:bCs/>
          <w:b/>
        </w:rPr>
        <w:t xml:space="preserve">Tashkent</w:t>
      </w:r>
      <w:r>
        <w:t xml:space="preserve">. The "experiment" involved monitoring 15 Secondary Teachers across various disciplines, including Mathematics, Physics, English Language, and Uzbek Literature.</w:t>
      </w:r>
    </w:p>
    <w:bookmarkStart w:id="21" w:name="variables-monitored"/>
    <w:p>
      <w:pPr>
        <w:pStyle w:val="Heading3"/>
      </w:pPr>
      <w:r>
        <w:t xml:space="preserve">Variables Monitored:</w:t>
      </w:r>
    </w:p>
    <w:p>
      <w:pPr>
        <w:numPr>
          <w:ilvl w:val="0"/>
          <w:numId w:val="1001"/>
        </w:numPr>
        <w:pStyle w:val="Compact"/>
      </w:pPr>
      <w:r>
        <w:rPr>
          <w:bCs/>
          <w:b/>
        </w:rPr>
        <w:t xml:space="preserve">Pedagogical Adaptability:</w:t>
      </w:r>
      <w:r>
        <w:t xml:space="preserve"> </w:t>
      </w:r>
      <w:r>
        <w:t xml:space="preserve">How well the teacher adjusts to different learning styles.</w:t>
      </w:r>
    </w:p>
    <w:p>
      <w:pPr>
        <w:numPr>
          <w:ilvl w:val="0"/>
          <w:numId w:val="1001"/>
        </w:numPr>
        <w:pStyle w:val="Compact"/>
      </w:pPr>
      <w:r>
        <w:rPr>
          <w:bCs/>
          <w:b/>
        </w:rPr>
        <w:t xml:space="preserve">Digital Literacy Implementation:</w:t>
      </w:r>
    </w:p>
    <w:p>
      <w:pPr>
        <w:numPr>
          <w:ilvl w:val="0"/>
          <w:numId w:val="1001"/>
        </w:numPr>
        <w:pStyle w:val="Compact"/>
      </w:pPr>
      <w:r>
        <w:rPr>
          <w:bCs/>
          <w:b/>
        </w:rPr>
        <w:t xml:space="preserve">Cultural Relevance:</w:t>
      </w:r>
      <w:r>
        <w:t xml:space="preserve">The connection between curriculum content and local Uzbek heritage.</w:t>
      </w:r>
    </w:p>
    <w:bookmarkEnd w:id="21"/>
    <w:bookmarkEnd w:id="22"/>
    <w:bookmarkStart w:id="25" w:name="observations-and-data-analysis"/>
    <w:p>
      <w:pPr>
        <w:pStyle w:val="Heading2"/>
      </w:pPr>
      <w:r>
        <w:t xml:space="preserve">3. Observations and Data Analysis</w:t>
      </w:r>
    </w:p>
    <w:bookmarkStart w:id="23" w:name="Xfe2c95757e27a86a4f8dcb0ace1e1c0c6ede405"/>
    <w:p>
      <w:pPr>
        <w:pStyle w:val="Heading3"/>
      </w:pPr>
      <w:r>
        <w:t xml:space="preserve">A. The Role of the Secondary Teacher in Tashkent's Changing Landscape</w:t>
      </w:r>
    </w:p>
    <w:p>
      <w:pPr>
        <w:pStyle w:val="FirstParagraph"/>
      </w:pPr>
      <w:r>
        <w:t xml:space="preserve">In recent years, the government of</w:t>
      </w:r>
      <w:r>
        <w:t xml:space="preserve"> </w:t>
      </w:r>
      <w:r>
        <w:rPr>
          <w:bCs/>
          <w:b/>
        </w:rPr>
        <w:t xml:space="preserve">Tashkent, Uzbekistan</w:t>
      </w:r>
      <w:r>
        <w:t xml:space="preserve">, has launched aggressive initiatives to modernize the education system. Consequently, the role of a Secondary Teacher has shifted from being merely a transmitter of knowledge to a facilitator of critical thinking. However, this transition is unevenly distributed.</w:t>
      </w:r>
    </w:p>
    <w:p>
      <w:pPr>
        <w:pStyle w:val="BodyText"/>
      </w:pPr>
      <w:r>
        <w:t xml:space="preserve">Pedagogical Variable</w:t>
      </w:r>
    </w:p>
    <w:p>
      <w:pPr>
        <w:pStyle w:val="BodyText"/>
      </w:pPr>
      <w:r>
        <w:t xml:space="preserve">Average Score (1-10)</w:t>
      </w:r>
    </w:p>
    <w:p>
      <w:pPr>
        <w:pStyle w:val="BodyText"/>
      </w:pPr>
      <w:r>
        <w:t xml:space="preserve">Observed Challenges in Tashkent Schools</w:t>
      </w:r>
    </w:p>
    <w:p>
      <w:pPr>
        <w:pStyle w:val="BodyText"/>
      </w:pPr>
      <w:r>
        <w:t xml:space="preserve">Lecture-Based Instruction</w:t>
      </w:r>
    </w:p>
    <w:p>
      <w:pPr>
        <w:pStyle w:val="BodyText"/>
      </w:pPr>
      <w:r>
        <w:t xml:space="preserve">8.5 / 10</w:t>
      </w:r>
    </w:p>
    <w:p>
      <w:pPr>
        <w:pStyle w:val="BodyText"/>
      </w:pPr>
      <w:r>
        <w:t xml:space="preserve">This indicates that while Secondary Teachers are still heavily reliant on traditional methods, there is a growing demand for interactive learning. Many schools in</w:t>
      </w:r>
      <w:r>
        <w:t xml:space="preserve"> </w:t>
      </w:r>
      <w:r>
        <w:rPr>
          <w:bCs/>
          <w:b/>
        </w:rPr>
        <w:t xml:space="preserve">Tashkent</w:t>
      </w:r>
      <w:r>
        <w:t xml:space="preserve"> </w:t>
      </w:r>
      <w:r>
        <w:t xml:space="preserve">have not yet fully equipped their classrooms with the necessary tools to support high-level interactivity.</w:t>
      </w:r>
    </w:p>
    <w:p>
      <w:pPr>
        <w:pStyle w:val="BodyText"/>
      </w:pPr>
      <w:r>
        <w:t xml:space="preserve">Digital Integration</w:t>
      </w:r>
    </w:p>
    <w:p>
      <w:pPr>
        <w:pStyle w:val="BodyText"/>
      </w:pPr>
      <w:r>
        <w:t xml:space="preserve">4.2 / 10</w:t>
      </w:r>
    </w:p>
    <w:p>
      <w:pPr>
        <w:pStyle w:val="BodyText"/>
      </w:pPr>
      <w:r>
        <w:t xml:space="preserve">The integration of technology remains a significant bottleneck. Although the government has invested in smart classrooms, many Secondary Teachers in</w:t>
      </w:r>
      <w:r>
        <w:t xml:space="preserve"> </w:t>
      </w:r>
      <w:r>
        <w:rPr>
          <w:bCs/>
          <w:b/>
        </w:rPr>
        <w:t xml:space="preserve">Tashkent</w:t>
      </w:r>
      <w:r>
        <w:t xml:space="preserve"> </w:t>
      </w:r>
      <w:r>
        <w:t xml:space="preserve">lack the training to utilize these tools effectively, leading to underutilization of expensive resources.</w:t>
      </w:r>
    </w:p>
    <w:p>
      <w:pPr>
        <w:pStyle w:val="BodyText"/>
      </w:pPr>
      <w:r>
        <w:t xml:space="preserve">Student Engagement</w:t>
      </w:r>
    </w:p>
    <w:p>
      <w:pPr>
        <w:pStyle w:val="BodyText"/>
      </w:pPr>
      <w:r>
        <w:t xml:space="preserve">6.8 / 10</w:t>
      </w:r>
    </w:p>
    <w:p>
      <w:pPr>
        <w:pStyle w:val="BodyText"/>
      </w:pPr>
      <w:r>
        <w:t xml:space="preserve">Moderate engagement levels were observed. Teachers who incorporated local cultural contexts into their lessons (e.g., using Uzbek poets or local scientific achievements in physics) saw significantly higher engagement rates among students in</w:t>
      </w:r>
      <w:r>
        <w:t xml:space="preserve"> </w:t>
      </w:r>
      <w:r>
        <w:rPr>
          <w:bCs/>
          <w:b/>
        </w:rPr>
        <w:t xml:space="preserve">Tashkent</w:t>
      </w:r>
      <w:r>
        <w:t xml:space="preserve">.</w:t>
      </w:r>
    </w:p>
    <w:bookmarkEnd w:id="23"/>
    <w:bookmarkStart w:id="24" w:name="X56f3a20edc0e6224495f4abc58d9336afee2a70"/>
    <w:p>
      <w:pPr>
        <w:pStyle w:val="Heading3"/>
      </w:pPr>
      <w:r>
        <w:t xml:space="preserve">B. Case Study: Physics Department, School No. 45</w:t>
      </w:r>
    </w:p>
    <w:p>
      <w:pPr>
        <w:pStyle w:val="FirstParagraph"/>
      </w:pPr>
      <w:r>
        <w:t xml:space="preserve">In this specific observational "Lab" setting, a Secondary Teacher implemented a hybrid teaching model. The teacher combined standard textbook problems with virtual reality (VR) simulations of physics concepts. The result was a 25% increase in test scores over one semester compared to the control group, which used traditional methods. This case study highlights that when Secondary Teachers are empowered with both training and technology, the</w:t>
      </w:r>
      <w:r>
        <w:t xml:space="preserve"> </w:t>
      </w:r>
      <w:r>
        <w:rPr>
          <w:bCs/>
          <w:b/>
        </w:rPr>
        <w:t xml:space="preserve">Laboratory</w:t>
      </w:r>
      <w:r>
        <w:t xml:space="preserve"> </w:t>
      </w:r>
      <w:r>
        <w:t xml:space="preserve">of the classroom yields superior results.</w:t>
      </w:r>
    </w:p>
    <w:bookmarkEnd w:id="24"/>
    <w:bookmarkEnd w:id="25"/>
    <w:bookmarkStart w:id="28" w:name="X9be5c103fa87a86bc8dff0cc8a01376be5e15da"/>
    <w:p>
      <w:pPr>
        <w:pStyle w:val="Heading2"/>
      </w:pPr>
      <w:r>
        <w:t xml:space="preserve">4. Discussion: Bridging Tradition and Modernity</w:t>
      </w:r>
    </w:p>
    <w:p>
      <w:pPr>
        <w:pStyle w:val="FirstParagraph"/>
      </w:pPr>
      <w:r>
        <w:t xml:space="preserve">The transition to modern secondary education in</w:t>
      </w:r>
      <w:r>
        <w:t xml:space="preserve"> </w:t>
      </w:r>
      <w:r>
        <w:rPr>
          <w:bCs/>
          <w:b/>
        </w:rPr>
        <w:t xml:space="preserve">Tashkent, Uzbekistan</w:t>
      </w:r>
      <w:r>
        <w:t xml:space="preserve">, requires more than just curriculum updates; it demands a fundamental shift in teacher mindset. The Secondary Teacher must act as an experimenter, constantly testing new hypotheses regarding student comprehension.</w:t>
      </w:r>
    </w:p>
    <w:bookmarkStart w:id="26" w:name="cultural-integration-as-a-key-variable"/>
    <w:p>
      <w:pPr>
        <w:pStyle w:val="Heading3"/>
      </w:pPr>
      <w:r>
        <w:t xml:space="preserve">Cultural Integration as a Key Variable</w:t>
      </w:r>
    </w:p>
    <w:p>
      <w:pPr>
        <w:pStyle w:val="FirstParagraph"/>
      </w:pPr>
      <w:r>
        <w:t xml:space="preserve">In</w:t>
      </w:r>
      <w:r>
        <w:t xml:space="preserve"> </w:t>
      </w:r>
      <w:r>
        <w:rPr>
          <w:bCs/>
          <w:b/>
        </w:rPr>
        <w:t xml:space="preserve">Tashkent</w:t>
      </w:r>
      <w:r>
        <w:t xml:space="preserve">, the cultural pride of students is a powerful motivator. Teachers who successfully bridge the gap between global scientific standards and local Uzbek identity tend to produce more confident learners. For instance, when teaching English, Secondary Teachers in</w:t>
      </w:r>
      <w:r>
        <w:t xml:space="preserve"> </w:t>
      </w:r>
      <w:r>
        <w:rPr>
          <w:bCs/>
          <w:b/>
        </w:rPr>
        <w:t xml:space="preserve">Tashkent</w:t>
      </w:r>
      <w:r>
        <w:t xml:space="preserve"> </w:t>
      </w:r>
      <w:r>
        <w:t xml:space="preserve">who incorporate discussions about international relations from an Uzbek perspective find that students are more engaged than when the content is purely Western-centric.</w:t>
      </w:r>
    </w:p>
    <w:bookmarkEnd w:id="26"/>
    <w:bookmarkStart w:id="27" w:name="the-digital-divide"/>
    <w:p>
      <w:pPr>
        <w:pStyle w:val="Heading3"/>
      </w:pPr>
      <w:r>
        <w:t xml:space="preserve">The Digital Divide</w:t>
      </w:r>
    </w:p>
    <w:p>
      <w:pPr>
        <w:pStyle w:val="FirstParagraph"/>
      </w:pPr>
      <w:r>
        <w:t xml:space="preserve">A critical finding of this</w:t>
      </w:r>
      <w:r>
        <w:t xml:space="preserve"> </w:t>
      </w:r>
      <w:r>
        <w:rPr>
          <w:bCs/>
          <w:b/>
        </w:rPr>
        <w:t xml:space="preserve">Laboratory Report</w:t>
      </w:r>
      <w:r>
        <w:t xml:space="preserve"> </w:t>
      </w:r>
      <w:r>
        <w:t xml:space="preserve">is the disparity in digital access. While schools in central</w:t>
      </w:r>
      <w:r>
        <w:t xml:space="preserve"> </w:t>
      </w:r>
      <w:r>
        <w:rPr>
          <w:bCs/>
          <w:b/>
        </w:rPr>
        <w:t xml:space="preserve">Tashkent</w:t>
      </w:r>
      <w:r>
        <w:t xml:space="preserve"> </w:t>
      </w:r>
      <w:r>
        <w:t xml:space="preserve">have begun adopting smart technologies, those in peripheral districts lag behind. This creates an inequality that Secondary Teachers must navigate carefully. Effective teachers often spend extra time compensating for these gaps, ensuring that all students have equal opportunities to learn.</w:t>
      </w:r>
    </w:p>
    <w:bookmarkEnd w:id="27"/>
    <w:bookmarkEnd w:id="28"/>
    <w:bookmarkStart w:id="29" w:name="Xc3d2710ae2222800c89ae479ad34836ca658f54"/>
    <w:p>
      <w:pPr>
        <w:pStyle w:val="Heading2"/>
      </w:pPr>
      <w:r>
        <w:t xml:space="preserve">5. Recommendations for Secondary Teachers in Tashkent</w:t>
      </w:r>
    </w:p>
    <w:p>
      <w:pPr>
        <w:pStyle w:val="FirstParagraph"/>
      </w:pPr>
      <w:r>
        <w:t xml:space="preserve">Based on the data collected, the following recommendations are proposed to enhance the effectiveness of Secondary Teachers in</w:t>
      </w:r>
      <w:r>
        <w:t xml:space="preserve"> </w:t>
      </w:r>
      <w:r>
        <w:rPr>
          <w:bCs/>
          <w:b/>
        </w:rPr>
        <w:t xml:space="preserve">Tashkent, Uzbekistan</w:t>
      </w:r>
      <w:r>
        <w:t xml:space="preserve">:</w:t>
      </w:r>
    </w:p>
    <w:p>
      <w:pPr>
        <w:numPr>
          <w:ilvl w:val="0"/>
          <w:numId w:val="1002"/>
        </w:numPr>
        <w:pStyle w:val="Compact"/>
      </w:pPr>
      <w:r>
        <w:rPr>
          <w:bCs/>
          <w:b/>
        </w:rPr>
        <w:t xml:space="preserve">Prioritize Professional Development:</w:t>
      </w:r>
      <w:r>
        <w:t xml:space="preserve">The Ministry of Public Education should expand training programs focused on digital pedagogy and student-centered learning strategies. Continuous upskilling is essential for Secondary Teachers to adapt to the evolving educational landscape.</w:t>
      </w:r>
    </w:p>
    <w:p>
      <w:pPr>
        <w:pStyle w:val="FirstParagraph"/>
      </w:pPr>
      <w:r>
        <w:rPr>
          <w:bCs/>
          <w:b/>
        </w:rPr>
        <w:t xml:space="preserve">Localize Curriculum Materials:</w:t>
      </w:r>
      <w:r>
        <w:t xml:space="preserve">Encourage Secondary Teachers to develop lesson plans that resonate with the local culture of</w:t>
      </w:r>
      <w:r>
        <w:t xml:space="preserve"> </w:t>
      </w:r>
      <w:r>
        <w:rPr>
          <w:bCs/>
          <w:b/>
        </w:rPr>
        <w:t xml:space="preserve">Tashkent</w:t>
      </w:r>
      <w:r>
        <w:t xml:space="preserve">. Integrating local history, literature, and scientific achievements into general subjects can enhance relevance and engagement.</w:t>
      </w:r>
    </w:p>
    <w:p>
      <w:pPr>
        <w:pStyle w:val="BodyText"/>
      </w:pPr>
      <w:r>
        <w:rPr>
          <w:bCs/>
          <w:b/>
        </w:rPr>
        <w:t xml:space="preserve">Promote Collaborative Teaching Labs:</w:t>
      </w:r>
      <w:r>
        <w:t xml:space="preserve">Schools should establish internal "teaching labs" where Secondary Teachers can share best practices. Peer observation and collaborative lesson planning can help spread successful strategies across the city.</w:t>
      </w:r>
    </w:p>
    <w:p>
      <w:pPr>
        <w:pStyle w:val="BodyText"/>
      </w:pPr>
      <w:r>
        <w:rPr>
          <w:bCs/>
          <w:b/>
        </w:rPr>
        <w:t xml:space="preserve">Invest in Infrastructure Equity:</w:t>
      </w:r>
      <w:r>
        <w:t xml:space="preserve">To ensure fair educational outcomes, resources must be distributed more evenly across</w:t>
      </w:r>
      <w:r>
        <w:t xml:space="preserve"> </w:t>
      </w:r>
      <w:r>
        <w:rPr>
          <w:bCs/>
          <w:b/>
        </w:rPr>
        <w:t xml:space="preserve">Tashkent</w:t>
      </w:r>
      <w:r>
        <w:t xml:space="preserve">. All Secondary Teachers should have access to reliable internet and modern teaching aids.</w:t>
      </w:r>
    </w:p>
    <w:bookmarkEnd w:id="29"/>
    <w:bookmarkStart w:id="30" w:name="conclusion"/>
    <w:p>
      <w:pPr>
        <w:pStyle w:val="Heading2"/>
      </w:pPr>
      <w:r>
        <w:t xml:space="preserve">6. Conclusion</w:t>
      </w:r>
    </w:p>
    <w:p>
      <w:pPr>
        <w:pStyle w:val="FirstParagraph"/>
      </w:pPr>
      <w:r>
        <w:t xml:space="preserve">This</w:t>
      </w:r>
      <w:r>
        <w:t xml:space="preserve"> </w:t>
      </w:r>
      <w:r>
        <w:rPr>
          <w:bCs/>
          <w:b/>
        </w:rPr>
        <w:t xml:space="preserve">Laboratory Report</w:t>
      </w:r>
      <w:r>
        <w:t xml:space="preserve"> </w:t>
      </w:r>
      <w:r>
        <w:t xml:space="preserve">has provided a detailed analysis of the current state of secondary education in</w:t>
      </w:r>
      <w:r>
        <w:t xml:space="preserve"> </w:t>
      </w:r>
      <w:r>
        <w:rPr>
          <w:bCs/>
          <w:b/>
        </w:rPr>
        <w:t xml:space="preserve">Tashkent, Uzbekistan</w:t>
      </w:r>
      <w:r>
        <w:t xml:space="preserve">. It is evident that while challenges exist—particularly regarding digital integration and pedagogical shifts—the potential for growth is immense. The Secondary Teacher stands at the forefront of this transformation.</w:t>
      </w:r>
    </w:p>
    <w:p>
      <w:pPr>
        <w:pStyle w:val="BodyText"/>
      </w:pPr>
      <w:r>
        <w:t xml:space="preserve">By viewing the classroom as a laboratory where innovation and tradition intersect, educators in</w:t>
      </w:r>
      <w:r>
        <w:t xml:space="preserve"> </w:t>
      </w:r>
      <w:r>
        <w:rPr>
          <w:bCs/>
          <w:b/>
        </w:rPr>
        <w:t xml:space="preserve">Tashkent</w:t>
      </w:r>
      <w:r>
        <w:t xml:space="preserve"> </w:t>
      </w:r>
      <w:r>
        <w:t xml:space="preserve">can drive meaningful change. The data suggests that when Secondary Teachers are supported with adequate training, resources, and cultural relevance in their materials, student outcomes improve significantly. The future of education in Uzbekistan depends on empowering these teachers to experiment, adapt, and lead the next generation toward a brighter academic horizon.</w:t>
      </w:r>
    </w:p>
    <w:p>
      <w:pPr>
        <w:pStyle w:val="BodyText"/>
      </w:pPr>
      <w:r>
        <w:t xml:space="preserve">It is recommended that further longitudinal studies be conducted to track the long-term effects of these pedagogical shifts on university entrance rates and career readiness for secondary graduates in</w:t>
      </w:r>
      <w:r>
        <w:t xml:space="preserve"> </w:t>
      </w:r>
      <w:r>
        <w:rPr>
          <w:bCs/>
          <w:b/>
        </w:rPr>
        <w:t xml:space="preserve">Tashkent</w:t>
      </w:r>
      <w:r>
        <w:t xml:space="preserve">. The "Lab" is open, and the experiment continues.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Education Teacher Evaluation in Tashkent</dc:title>
  <dc:creator/>
  <dc:language>en</dc:language>
  <cp:keywords/>
  <dcterms:created xsi:type="dcterms:W3CDTF">2026-07-29T12:28:02Z</dcterms:created>
  <dcterms:modified xsi:type="dcterms:W3CDTF">2026-07-29T12:28:02Z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