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Infrastructure</w:t>
      </w:r>
      <w:r>
        <w:t xml:space="preserve"> </w:t>
      </w:r>
      <w:r>
        <w:t xml:space="preserve">in</w:t>
      </w:r>
      <w:r>
        <w:t xml:space="preserve"> </w:t>
      </w:r>
      <w:r>
        <w:t xml:space="preserve">Brisbane</w:t>
      </w:r>
    </w:p>
    <w:bookmarkStart w:id="20" w:name="laboratory-report-metadata"/>
    <w:p>
      <w:pPr>
        <w:pStyle w:val="Heading3"/>
      </w:pPr>
      <w:r>
        <w:t xml:space="preserve">Laboratory Report Metadata</w:t>
      </w:r>
    </w:p>
    <w:p>
      <w:pPr>
        <w:pStyle w:val="FirstParagraph"/>
      </w:pPr>
      <w:r>
        <w:rPr>
          <w:bCs/>
          <w:b/>
        </w:rPr>
        <w:t xml:space="preserve">Date:</w:t>
      </w:r>
      <w:r>
        <w:t xml:space="preserve"> </w:t>
      </w:r>
      <w:r>
        <w:t xml:space="preserve">October 24, 2023</w:t>
      </w:r>
    </w:p>
    <w:p>
      <w:pPr>
        <w:pStyle w:val="BodyText"/>
      </w:pPr>
      <w:r>
        <w:rPr>
          <w:bCs/>
          <w:b/>
        </w:rPr>
        <w:t xml:space="preserve">To:</w:t>
      </w:r>
      <w:r>
        <w:t xml:space="preserve">Civil Engineering &amp; Urban Planning Committee, Brisbane City Council</w:t>
      </w:r>
    </w:p>
    <w:p>
      <w:pPr>
        <w:pStyle w:val="BodyText"/>
      </w:pPr>
      <w:r>
        <w:rPr>
          <w:bCs/>
          <w:b/>
        </w:rPr>
        <w:t xml:space="preserve">From:Sr. Telecommunication Engineer Infrastructure Division</w:t>
      </w:r>
    </w:p>
    <w:bookmarkEnd w:id="20"/>
    <w:bookmarkStart w:id="32" w:name="X645e1c4da36032e2a77878e2ffefbfc49ed02da"/>
    <w:p>
      <w:pPr>
        <w:pStyle w:val="Heading1"/>
      </w:pPr>
      <w:r>
        <w:t xml:space="preserve">Laboratory Report: Telecommunication Engineering Infrastructure in Brisbane</w:t>
      </w:r>
    </w:p>
    <w:bookmarkStart w:id="21" w:name="executive-summary"/>
    <w:p>
      <w:pPr>
        <w:pStyle w:val="Heading2"/>
      </w:pPr>
      <w:r>
        <w:t xml:space="preserve">1. Executive Summary</w:t>
      </w:r>
    </w:p>
    <w:p>
      <w:pPr>
        <w:pStyle w:val="FirstParagraph"/>
      </w:pPr>
      <w:r>
        <w:t xml:space="preserve">This laboratory report provides a comprehensive technical analysis regarding the integration of next-generation telecommunication networks within the metropolitan area of Australia Brisbane. As a rapidly growing urban center, it is imperative to ensure that the underlying engineering frameworks can support high-density data transmission, low-latency requirements for IoT (Internet of Things) devices, and robust connectivity for residential and commercial sectors. This document details the experimental simulations conducted regarding signal propagation in dense urban environments specific to the Brisbane topography.</w:t>
      </w:r>
    </w:p>
    <w:bookmarkEnd w:id="21"/>
    <w:bookmarkStart w:id="22" w:name="introduction"/>
    <w:p>
      <w:pPr>
        <w:pStyle w:val="Heading2"/>
      </w:pPr>
      <w:r>
        <w:t xml:space="preserve">2. Introduction</w:t>
      </w:r>
    </w:p>
    <w:p>
      <w:pPr>
        <w:pStyle w:val="FirstParagraph"/>
      </w:pPr>
      <w:r>
        <w:t xml:space="preserve">The role of a Telecommunication Engineer has evolved significantly from traditional voice transmission systems to complex, data-driven network architectures. In the context of Australia Brisbane, the challenge is not merely about coverage but about capacity and resilience. The city’s unique geographical layout, characterized by river crossings and high-rise commercial districts in the Central Business District (CBD), presents specific engineering challenges for millimeter-wave frequency propagation.</w:t>
      </w:r>
    </w:p>
    <w:p>
      <w:pPr>
        <w:pStyle w:val="BodyText"/>
      </w:pPr>
      <w:r>
        <w:t xml:space="preserve">The primary objective of this laboratory study was to simulate and analyze the efficacy of Small Cell deployment strategies versus macro-cell upgrades. By focusing on Australia Brisbane as the case study, we aim to determine the optimal engineering approach to minimize signal shadowing caused by the dense architectural footprint while ensuring compliance with local electromagnetic field (EMF) exposure standards.</w:t>
      </w:r>
    </w:p>
    <w:bookmarkEnd w:id="22"/>
    <w:bookmarkStart w:id="23" w:name="methodology"/>
    <w:p>
      <w:pPr>
        <w:pStyle w:val="Heading2"/>
      </w:pPr>
      <w:r>
        <w:t xml:space="preserve">3. Methodology</w:t>
      </w:r>
    </w:p>
    <w:p>
      <w:pPr>
        <w:pStyle w:val="FirstParagraph"/>
      </w:pPr>
      <w:r>
        <w:t xml:space="preserve">The laboratory experiments were conducted using ray-tracing software simulations calibrated with real-world geographical data of Australia Brisbane. The methodology involved the following steps:</w:t>
      </w:r>
    </w:p>
    <w:p>
      <w:pPr>
        <w:numPr>
          <w:ilvl w:val="0"/>
          <w:numId w:val="1001"/>
        </w:numPr>
        <w:pStyle w:val="Compact"/>
      </w:pPr>
      <w:r>
        <w:rPr>
          <w:bCs/>
          <w:b/>
        </w:rPr>
        <w:t xml:space="preserve">Data Collection:</w:t>
      </w:r>
      <w:r>
        <w:t xml:space="preserve">Gathering architectural blueprints of key buildings in the Brisbane CBD and surrounding suburbs such as South Bank and Fortitude Valley.</w:t>
      </w:r>
    </w:p>
    <w:p>
      <w:pPr>
        <w:numPr>
          <w:ilvl w:val="0"/>
          <w:numId w:val="1001"/>
        </w:numPr>
        <w:pStyle w:val="Compact"/>
      </w:pPr>
      <w:r>
        <w:rPr>
          <w:bCs/>
          <w:b/>
        </w:rPr>
        <w:t xml:space="preserve">Simulation Setup:</w:t>
      </w:r>
      <w:r>
        <w:t xml:space="preserve">We utilized 5G NR (New Radio) frequency bands, specifically focusing on the n78 band (3.3–3.8 GHz) due to its balance between coverage area and bandwidth capacity.</w:t>
      </w:r>
    </w:p>
    <w:p>
      <w:pPr>
        <w:numPr>
          <w:ilvl w:val="0"/>
          <w:numId w:val="1001"/>
        </w:numPr>
        <w:pStyle w:val="Compact"/>
      </w:pPr>
      <w:r>
        <w:t xml:space="preserve">Variable Parameters:We tested three scenarios: A) Macro-cell only deployment; B) Hybrid Small Cell integration; C) Full Small Cell mesh network.</w:t>
      </w:r>
    </w:p>
    <w:p>
      <w:pPr>
        <w:numPr>
          <w:ilvl w:val="0"/>
          <w:numId w:val="1001"/>
        </w:numPr>
        <w:pStyle w:val="Compact"/>
      </w:pPr>
      <w:r>
        <w:t xml:space="preserve">Metric Analysis:The Key Performance Indicators (KPIs) included Signal-to-Interference-plus-Noise Ratio (SINR), throughput per user, and latency measurements.</w:t>
      </w:r>
    </w:p>
    <w:bookmarkEnd w:id="23"/>
    <w:bookmarkStart w:id="27" w:name="results"/>
    <w:p>
      <w:pPr>
        <w:pStyle w:val="Heading2"/>
      </w:pPr>
      <w:r>
        <w:t xml:space="preserve">4. Results</w:t>
      </w:r>
    </w:p>
    <w:p>
      <w:pPr>
        <w:pStyle w:val="FirstParagraph"/>
      </w:pPr>
      <w:r>
        <w:t xml:space="preserve">The laboratory simulations yielded significant insights into the performance disparities between deployment models in the specific environment of Australia Brisbane.</w:t>
      </w:r>
    </w:p>
    <w:bookmarkStart w:id="24" w:name="signal-propagation-and-shadowing"/>
    <w:p>
      <w:pPr>
        <w:pStyle w:val="Heading3"/>
      </w:pPr>
      <w:r>
        <w:t xml:space="preserve">4.1 Signal Propagation and Shadowing</w:t>
      </w:r>
    </w:p>
    <w:p>
      <w:pPr>
        <w:pStyle w:val="FirstParagraph"/>
      </w:pPr>
      <w:r>
        <w:t xml:space="preserve">In Scenario A (Macro-cell only), we observed substantial signal attenuation in areas with high-rise glass facades, which are prevalent in Australia Brisbane’s skyline. The reflection properties of modern building materials caused multipath interference, leading to unstable connections for indoor users.</w:t>
      </w:r>
    </w:p>
    <w:bookmarkEnd w:id="24"/>
    <w:bookmarkStart w:id="25" w:name="throughput-analysis"/>
    <w:p>
      <w:pPr>
        <w:pStyle w:val="Heading3"/>
      </w:pPr>
      <w:r>
        <w:t xml:space="preserve">4.2 Throughput Analysis</w:t>
      </w:r>
    </w:p>
    <w:p>
      <w:pPr>
        <w:pStyle w:val="FirstParagraph"/>
      </w:pPr>
      <w:r>
        <w:t xml:space="preserve">Scenario B (Hybrid approach) demonstrated a 40% increase in average user throughput compared to Scenario A. By introducing small cells at street level and on existing utility poles, the network could offload traffic from the macro layer effectively.</w:t>
      </w:r>
    </w:p>
    <w:bookmarkEnd w:id="25"/>
    <w:bookmarkStart w:id="26" w:name="latency-performance"/>
    <w:p>
      <w:pPr>
        <w:pStyle w:val="Heading3"/>
      </w:pPr>
      <w:r>
        <w:t xml:space="preserve">4.3 Latency Performance</w:t>
      </w:r>
    </w:p>
    <w:p>
      <w:pPr>
        <w:pStyle w:val="FirstParagraph"/>
      </w:pPr>
      <w:r>
        <w:t xml:space="preserve">The full Small Cell mesh network (Scenario C) achieved latency levels below 10 milliseconds in 95% of test cases within Australia Brisbane. This is critical for supporting emerging technologies such as autonomous vehicle communication systems and remote healthcare monitoring, which are part of the city’s smart infrastructure roadmap.</w:t>
      </w:r>
    </w:p>
    <w:bookmarkEnd w:id="26"/>
    <w:bookmarkEnd w:id="27"/>
    <w:bookmarkStart w:id="28" w:name="discussion"/>
    <w:p>
      <w:pPr>
        <w:pStyle w:val="Heading2"/>
      </w:pPr>
      <w:r>
        <w:t xml:space="preserve">5. Discussion</w:t>
      </w:r>
    </w:p>
    <w:p>
      <w:pPr>
        <w:pStyle w:val="FirstParagraph"/>
      </w:pPr>
      <w:r>
        <w:t xml:space="preserve">The results indicate that a purely macro-cell based infrastructure is insufficient for the demands of a modern metropolitan hub like Australia Brisbane. The Telecommunication Engineer must adopt a multi-tiered approach. The physical constraints of Brisbane, including humidity levels and rain fade effects on higher frequencies, necessitate careful antenna positioning.</w:t>
      </w:r>
    </w:p>
    <w:p>
      <w:pPr>
        <w:pStyle w:val="BodyText"/>
      </w:pPr>
      <w:r>
        <w:t xml:space="preserve">Furthermore, the integration process requires close collaboration with local government bodies to ensure aesthetic harmony. In Australia Brisbane, visual impact is a significant concern for heritage-listed areas. Therefore, the engineering design must prioritize stealthy installations that do not disrupt the historical character of certain precincts while maintaining high technical performance.</w:t>
      </w:r>
    </w:p>
    <w:p>
      <w:pPr>
        <w:pStyle w:val="BodyText"/>
      </w:pPr>
      <w:r>
        <w:t xml:space="preserve">It is also crucial to address power consumption. The density of small cells increases energy demand. Our laboratory tests suggest that integrating renewable energy sources, such as solar panels on existing street furniture, can mitigate the carbon footprint associated with expanded network infrastructure.</w:t>
      </w:r>
    </w:p>
    <w:bookmarkEnd w:id="28"/>
    <w:bookmarkStart w:id="29" w:name="challenges-and-mitigation-strategies"/>
    <w:p>
      <w:pPr>
        <w:pStyle w:val="Heading2"/>
      </w:pPr>
      <w:r>
        <w:t xml:space="preserve">6. Challenges and Mitigation Strategies</w:t>
      </w:r>
    </w:p>
    <w:p>
      <w:pPr>
        <w:pStyle w:val="FirstParagraph"/>
      </w:pPr>
      <w:r>
        <w:rPr>
          <w:bCs/>
          <w:b/>
        </w:rPr>
        <w:t xml:space="preserve">Spectrum Congestion:</w:t>
      </w:r>
      <w:r>
        <w:t xml:space="preserve">As user density increases in Australia Brisbane’s CBD, spectrum congestion becomes a primary bottleneck. The Telecommunication Engineer must employ advanced beamforming techniques to direct signals precisely to users rather than broadcasting omnidirectionally, thereby increasing spectral efficiency.</w:t>
      </w:r>
    </w:p>
    <w:p>
      <w:pPr>
        <w:pStyle w:val="BodyText"/>
      </w:pPr>
      <w:r>
        <w:t xml:space="preserve">Civil Works and Permits:Trenching for fiber backhaul connections in established urban areas of Australia Brisbane is logistically complex. We recommend utilizing existing ducting infrastructure and exploring wireless backhaul options where fiber access is restricted or prohibitively expensive.</w:t>
      </w:r>
    </w:p>
    <w:bookmarkEnd w:id="29"/>
    <w:bookmarkStart w:id="30" w:name="conclusion"/>
    <w:p>
      <w:pPr>
        <w:pStyle w:val="Heading2"/>
      </w:pPr>
      <w:r>
        <w:t xml:space="preserve">7. Conclusion</w:t>
      </w:r>
    </w:p>
    <w:p>
      <w:pPr>
        <w:pStyle w:val="FirstParagraph"/>
      </w:pPr>
      <w:r>
        <w:t xml:space="preserve">This laboratory report confirms that the deployment of a hybrid Small Cell network is the most viable engineering solution for sustaining high-speed telecommunications in Australia Brisbane. The role of the Telecommunication Engineer extends beyond technical specification; it involves navigating regulatory, environmental, and urban planning constraints to deliver seamless connectivity.</w:t>
      </w:r>
    </w:p>
    <w:p>
      <w:pPr>
        <w:pStyle w:val="BodyText"/>
      </w:pPr>
      <w:r>
        <w:t xml:space="preserve">By adopting the strategies outlined in this report, stakeholders can ensure that Australia Brisbane remains at the forefront of smart city development. The data supports a transition from legacy infrastructure models to agile, dense network architectures that cater to both current demand and future technological advancements.</w:t>
      </w:r>
    </w:p>
    <w:bookmarkEnd w:id="30"/>
    <w:bookmarkStart w:id="31" w:name="recommendations"/>
    <w:p>
      <w:pPr>
        <w:pStyle w:val="Heading2"/>
      </w:pPr>
      <w:r>
        <w:t xml:space="preserve">8. Recommendations</w:t>
      </w:r>
    </w:p>
    <w:p>
      <w:pPr>
        <w:numPr>
          <w:ilvl w:val="0"/>
          <w:numId w:val="1002"/>
        </w:numPr>
        <w:pStyle w:val="Compact"/>
      </w:pPr>
      <w:r>
        <w:rPr>
          <w:bCs/>
          <w:b/>
        </w:rPr>
        <w:t xml:space="preserve">Prioritize Fiber Backhaul:</w:t>
      </w:r>
      <w:r>
        <w:t xml:space="preserve">All new small cell sites in Australia Brisbane should be fiber-enabled to prevent wireless backhaul bottlenecks.</w:t>
      </w:r>
    </w:p>
    <w:p>
      <w:pPr>
        <w:numPr>
          <w:ilvl w:val="0"/>
          <w:numId w:val="1002"/>
        </w:numPr>
        <w:pStyle w:val="Compact"/>
      </w:pPr>
      <w:r>
        <w:t xml:space="preserve">Safety Compliance:All installations must strictly adhere to Australian Telecommunication Standards (AS/NZS) regarding radio frequency exposure.</w:t>
      </w:r>
    </w:p>
    <w:p>
      <w:pPr>
        <w:numPr>
          <w:ilvl w:val="0"/>
          <w:numId w:val="1002"/>
        </w:numPr>
        <w:pStyle w:val="Compact"/>
      </w:pPr>
      <w:r>
        <w:t xml:space="preserve">Community Engagement:Telecommunication Engineers should engage with local Brisbane communities early in the planning phase to address concerns regarding visual impact and health safety.</w:t>
      </w:r>
    </w:p>
    <w:p>
      <w:pPr>
        <w:pStyle w:val="FirstParagraph"/>
      </w:pPr>
      <w:r>
        <w:rPr>
          <w:iCs/>
          <w:i/>
        </w:rPr>
        <w:t xml:space="preserve">This document serves as a foundational guide for infrastructure planning. Further field trials are recommended to validate laboratory simulation results before full-scale rollout across Australia Brisbane.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Infrastructure in Brisbane</dc:title>
  <dc:creator/>
  <dc:language>en</dc:language>
  <cp:keywords/>
  <dcterms:created xsi:type="dcterms:W3CDTF">2026-07-29T10:32:08Z</dcterms:created>
  <dcterms:modified xsi:type="dcterms:W3CDTF">2026-07-29T10:32:08Z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