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Canada</w:t>
      </w:r>
      <w:r>
        <w:t xml:space="preserve"> </w:t>
      </w:r>
      <w:r>
        <w:t xml:space="preserve">Vancouver</w:t>
      </w:r>
      <w:r>
        <w:t xml:space="preserve"> </w:t>
      </w:r>
      <w:r>
        <w:t xml:space="preserve">Context</w:t>
      </w:r>
    </w:p>
    <w:bookmarkStart w:id="21" w:name="laboratory-analysis-report"/>
    <w:p>
      <w:pPr>
        <w:pStyle w:val="Heading1"/>
      </w:pPr>
      <w:r>
        <w:t xml:space="preserve">Laboratory Analysis Report</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Engineering Standards Board, British Columbia</w:t>
      </w:r>
    </w:p>
    <w:p>
      <w:pPr>
        <w:pStyle w:val="BodyText"/>
      </w:pPr>
      <w:r>
        <w:rPr>
          <w:bCs/>
          <w:b/>
        </w:rPr>
        <w:t xml:space="preserve">From:</w:t>
      </w:r>
      <w:r>
        <w:t xml:space="preserve"> </w:t>
      </w:r>
      <w:r>
        <w:t xml:space="preserve">Senior Network Infrastructure Division</w:t>
      </w:r>
    </w:p>
    <w:bookmarkStart w:id="20" w:name="Xf890c29acf2f96f21374be2ed1e3f2aa1f1a339"/>
    <w:p>
      <w:pPr>
        <w:pStyle w:val="Heading2"/>
      </w:pPr>
      <w:r>
        <w:t xml:space="preserve">Subject: RF Propagation and Signal Integrity Assessment for Urban Deployment in Canada Vancouver</w:t>
      </w:r>
    </w:p>
    <w:bookmarkEnd w:id="20"/>
    <w:bookmarkEnd w:id="21"/>
    <w:bookmarkStart w:id="22" w:name="executive-summary"/>
    <w:p>
      <w:pPr>
        <w:pStyle w:val="Heading2"/>
      </w:pPr>
      <w:r>
        <w:t xml:space="preserve">1. Executive Summary</w:t>
      </w:r>
    </w:p>
    <w:p>
      <w:pPr>
        <w:pStyle w:val="FirstParagraph"/>
      </w:pPr>
      <w:r>
        <w:t xml:space="preserve">The primary objective of this</w:t>
      </w:r>
      <w:r>
        <w:t xml:space="preserve"> </w:t>
      </w:r>
      <w:r>
        <w:rPr>
          <w:bCs/>
          <w:b/>
        </w:rPr>
        <w:t xml:space="preserve">Laboratory Report</w:t>
      </w:r>
      <w:r>
        <w:t xml:space="preserve"> </w:t>
      </w:r>
      <w:r>
        <w:t xml:space="preserve">is to document the rigorous testing and analytical procedures conducted to evaluate high-frequency telecommunications infrastructure compatibility within dense urban environments. Specifically, this study focuses on the unique geographical and regulatory challenges presented by the Canadian market, with a targeted case study on the metropolitan region of</w:t>
      </w:r>
      <w:r>
        <w:t xml:space="preserve"> </w:t>
      </w:r>
      <w:r>
        <w:rPr>
          <w:bCs/>
          <w:b/>
        </w:rPr>
        <w:t xml:space="preserve">Canada Vancouver</w:t>
      </w:r>
      <w:r>
        <w:t xml:space="preserve">. As a pivotal</w:t>
      </w:r>
      <w:r>
        <w:t xml:space="preserve"> </w:t>
      </w:r>
      <w:r>
        <w:rPr>
          <w:bCs/>
          <w:b/>
        </w:rPr>
        <w:t xml:space="preserve">Telecommunication Engineer</w:t>
      </w:r>
      <w:r>
        <w:t xml:space="preserve">, it is imperative to ensure that signal propagation models account for the specific atmospheric moisture levels, architectural density, and regulatory frameworks defined by Innovation, Science and Economic Development Canada (ISED). The findings presented herein validate the efficacy of new beamforming algorithms in mitigating interference while maintaining high throughput rates.</w:t>
      </w:r>
    </w:p>
    <w:bookmarkEnd w:id="22"/>
    <w:bookmarkStart w:id="23" w:name="introduction"/>
    <w:p>
      <w:pPr>
        <w:pStyle w:val="Heading2"/>
      </w:pPr>
      <w:r>
        <w:t xml:space="preserve">2. Introduction</w:t>
      </w:r>
    </w:p>
    <w:p>
      <w:pPr>
        <w:pStyle w:val="FirstParagraph"/>
      </w:pPr>
      <w:r>
        <w:t xml:space="preserve">In the rapidly evolving landscape of modern connectivity, the role of a specialized</w:t>
      </w:r>
      <w:r>
        <w:t xml:space="preserve"> </w:t>
      </w:r>
      <w:r>
        <w:rPr>
          <w:bCs/>
          <w:b/>
        </w:rPr>
        <w:t xml:space="preserve">Telecommunication Engineer</w:t>
      </w:r>
      <w:r>
        <w:t xml:space="preserve"> </w:t>
      </w:r>
      <w:r>
        <w:t xml:space="preserve">extends beyond mere hardware installation to encompass complex environmental simulation and regulatory compliance. Vancouver, situated on the Pacific coast in Canada, presents a distinct set of variables for network deployment. The region is characterized by high population density in areas such as Downtown and West End, coupled with significant geographical barriers including steep topography and heavy precipitation patterns.</w:t>
      </w:r>
    </w:p>
    <w:p>
      <w:pPr>
        <w:pStyle w:val="BodyText"/>
      </w:pPr>
      <w:r>
        <w:t xml:space="preserve">This</w:t>
      </w:r>
      <w:r>
        <w:t xml:space="preserve"> </w:t>
      </w:r>
      <w:r>
        <w:rPr>
          <w:bCs/>
          <w:b/>
        </w:rPr>
        <w:t xml:space="preserve">Laboratory Report</w:t>
      </w:r>
      <w:r>
        <w:t xml:space="preserve"> </w:t>
      </w:r>
      <w:r>
        <w:t xml:space="preserve">serves to bridge the gap between theoretical signal modeling and practical application within the specific context of</w:t>
      </w:r>
      <w:r>
        <w:t xml:space="preserve"> </w:t>
      </w:r>
      <w:r>
        <w:rPr>
          <w:bCs/>
          <w:b/>
        </w:rPr>
        <w:t xml:space="preserve">Canada Vancouver</w:t>
      </w:r>
      <w:r>
        <w:t xml:space="preserve">. The study aims to determine optimal antenna placement strategies for 5G mmWave deployments, ensuring that the infrastructure not only meets technical performance metrics but also adheres to strict Canadian safety standards regarding radiofrequency (RF) exposure.</w:t>
      </w:r>
    </w:p>
    <w:bookmarkEnd w:id="23"/>
    <w:bookmarkStart w:id="26" w:name="methodology-and-experimental-setup"/>
    <w:p>
      <w:pPr>
        <w:pStyle w:val="Heading2"/>
      </w:pPr>
      <w:r>
        <w:t xml:space="preserve">3. Methodology and Experimental Setup</w:t>
      </w:r>
    </w:p>
    <w:p>
      <w:pPr>
        <w:pStyle w:val="FirstParagraph"/>
      </w:pPr>
      <w:r>
        <w:t xml:space="preserve">To accurately simulate the conditions found in</w:t>
      </w:r>
      <w:r>
        <w:t xml:space="preserve"> </w:t>
      </w:r>
      <w:r>
        <w:rPr>
          <w:bCs/>
          <w:b/>
        </w:rPr>
        <w:t xml:space="preserve">Canada Vancouver</w:t>
      </w:r>
      <w:r>
        <w:t xml:space="preserve">, a controlled laboratory environment was established to mimic urban canyon effects and atmospheric attenuation. The experimental setup involved the use of anechoic chambers equipped with vector network analyzers (VNAs) to measure S-parameters under varying load conditions.</w:t>
      </w:r>
    </w:p>
    <w:bookmarkStart w:id="24" w:name="simulation-parameters"/>
    <w:p>
      <w:pPr>
        <w:pStyle w:val="Heading3"/>
      </w:pPr>
      <w:r>
        <w:t xml:space="preserve">3.1 Simulation Parameters</w:t>
      </w:r>
    </w:p>
    <w:p>
      <w:pPr>
        <w:pStyle w:val="FirstParagraph"/>
      </w:pPr>
      <w:r>
        <w:t xml:space="preserve">The simulation parameters were calibrated based on historical weather data and urban planning maps of Vancouver. Key variables included:</w:t>
      </w:r>
    </w:p>
    <w:p>
      <w:pPr>
        <w:numPr>
          <w:ilvl w:val="0"/>
          <w:numId w:val="1001"/>
        </w:numPr>
        <w:pStyle w:val="Compact"/>
      </w:pPr>
      <w:r>
        <w:rPr>
          <w:bCs/>
          <w:b/>
        </w:rPr>
        <w:t xml:space="preserve">Frequency Bands:</w:t>
      </w:r>
      <w:r>
        <w:t xml:space="preserve"> </w:t>
      </w:r>
      <w:r>
        <w:t xml:space="preserve">Testing was conducted across the n260 (mmWave 39GHz) and n77 (Sub-6 GHz 3.5GHz) bands, which are critical for ISED licensing in Canada.</w:t>
      </w:r>
    </w:p>
    <w:p>
      <w:pPr>
        <w:numPr>
          <w:ilvl w:val="0"/>
          <w:numId w:val="1001"/>
        </w:numPr>
        <w:pStyle w:val="Compact"/>
      </w:pPr>
      <w:r>
        <w:rPr>
          <w:bCs/>
          <w:b/>
        </w:rPr>
        <w:t xml:space="preserve">Environmental Factors:</w:t>
      </w:r>
      <w:r>
        <w:t xml:space="preserve"> </w:t>
      </w:r>
      <w:r>
        <w:t xml:space="preserve">Rain attenuation models were adjusted to reflect the average annual rainfall of Vancouver, known as one of the wettest cities in Canada.</w:t>
      </w:r>
    </w:p>
    <w:p>
      <w:pPr>
        <w:numPr>
          <w:ilvl w:val="0"/>
          <w:numId w:val="1001"/>
        </w:numPr>
        <w:pStyle w:val="Compact"/>
      </w:pPr>
      <w:r>
        <w:rPr>
          <w:bCs/>
          <w:b/>
        </w:rPr>
        <w:t xml:space="preserve">Destructive Interference Mapping:</w:t>
      </w:r>
      <w:r>
        <w:t xml:space="preserve"> </w:t>
      </w:r>
      <w:r>
        <w:t xml:space="preserve">Algorithms were employed to predict multipath fading caused by glass and steel facades typical of Vancouver's modern architecture.</w:t>
      </w:r>
    </w:p>
    <w:bookmarkEnd w:id="24"/>
    <w:bookmarkStart w:id="25" w:name="role-of-the-telecommunication-engineer"/>
    <w:p>
      <w:pPr>
        <w:pStyle w:val="Heading3"/>
      </w:pPr>
      <w:r>
        <w:t xml:space="preserve">3.2 Role of the Telecommunication Engineer</w:t>
      </w:r>
    </w:p>
    <w:p>
      <w:pPr>
        <w:pStyle w:val="FirstParagraph"/>
      </w:pPr>
      <w:r>
        <w:t xml:space="preserve">The execution of this experiment required the expertise of a certified</w:t>
      </w:r>
      <w:r>
        <w:t xml:space="preserve"> </w:t>
      </w:r>
      <w:r>
        <w:rPr>
          <w:bCs/>
          <w:b/>
        </w:rPr>
        <w:t xml:space="preserve">Telecommunication Engineer</w:t>
      </w:r>
      <w:r>
        <w:t xml:space="preserve">. The engineer was responsible for configuring the software-defined radio (SDR) testbeds, calibrating measurement instruments to ISO standards, and interpreting raw data streams. Critical attention was paid to ensuring that all laboratory procedures adhered to Health Canada’s guidelines on RF exposure limits.</w:t>
      </w:r>
    </w:p>
    <w:bookmarkEnd w:id="25"/>
    <w:bookmarkEnd w:id="26"/>
    <w:bookmarkStart w:id="27" w:name="data-analysis-and-results"/>
    <w:p>
      <w:pPr>
        <w:pStyle w:val="Heading2"/>
      </w:pPr>
      <w:r>
        <w:t xml:space="preserve">4. Data Analysis and Results</w:t>
      </w:r>
    </w:p>
    <w:p>
      <w:pPr>
        <w:pStyle w:val="FirstParagraph"/>
      </w:pPr>
      <w:r>
        <w:t xml:space="preserve">The data collected from the laboratory simulations provided significant insights into signal behavior in environments similar to those found in</w:t>
      </w:r>
      <w:r>
        <w:t xml:space="preserve"> </w:t>
      </w:r>
      <w:r>
        <w:rPr>
          <w:bCs/>
          <w:b/>
        </w:rPr>
        <w:t xml:space="preserve">Canada Vancouver</w:t>
      </w:r>
      <w:r>
        <w:t xml:space="preserve">. The analysis focused primarily on Signal-to-Noise Ratio (SNR), Bit Error Rate (BER), and Latency.</w:t>
      </w:r>
    </w:p>
    <w:p>
      <w:pPr>
        <w:pStyle w:val="BodyText"/>
      </w:pPr>
      <w:r>
        <w:t xml:space="preserve">Metric</w:t>
      </w:r>
    </w:p>
    <w:p>
      <w:pPr>
        <w:pStyle w:val="BodyText"/>
      </w:pPr>
      <w:r>
        <w:t xml:space="preserve">Ideal Condition</w:t>
      </w:r>
    </w:p>
    <w:p>
      <w:pPr>
        <w:pStyle w:val="BodyText"/>
      </w:pPr>
      <w:r>
        <w:t xml:space="preserve">Vancouver Simulation (High Rain)</w:t>
      </w:r>
    </w:p>
    <w:p>
      <w:pPr>
        <w:pStyle w:val="BodyText"/>
      </w:pPr>
      <w:r>
        <w:t xml:space="preserve">Vancouver Simulation (Clear Sky)</w:t>
      </w:r>
    </w:p>
    <w:p>
      <w:pPr>
        <w:pStyle w:val="BodyText"/>
      </w:pPr>
      <w:r>
        <w:t xml:space="preserve">Average SNR (dB)</w:t>
      </w:r>
    </w:p>
    <w:p>
      <w:pPr>
        <w:pStyle w:val="BodyText"/>
      </w:pPr>
      <w:r>
        <w:t xml:space="preserve">&gt; 30 dB</w:t>
      </w:r>
    </w:p>
    <w:p>
      <w:pPr>
        <w:pStyle w:val="BodyText"/>
      </w:pPr>
      <w:r>
        <w:t xml:space="preserve">-2.5 dB</w:t>
      </w:r>
    </w:p>
    <w:p>
      <w:pPr>
        <w:pStyle w:val="BodyText"/>
      </w:pPr>
      <w:r>
        <w:t xml:space="preserve">*Corrected Data Representation*</w:t>
      </w:r>
    </w:p>
    <w:p>
      <w:pPr>
        <w:pStyle w:val="BodyText"/>
      </w:pPr>
      <w:r>
        <w:t xml:space="preserve">Average SNR (dB)</w:t>
      </w:r>
    </w:p>
    <w:p>
      <w:pPr>
        <w:pStyle w:val="BodyText"/>
      </w:pPr>
      <w:r>
        <w:t xml:space="preserve">&gt; 30 dB</w:t>
      </w:r>
    </w:p>
    <w:p>
      <w:pPr>
        <w:pStyle w:val="BodyText"/>
      </w:pPr>
      <w:r>
        <w:t xml:space="preserve">-15% Drop from Base</w:t>
      </w:r>
    </w:p>
    <w:p>
      <w:pPr>
        <w:pStyle w:val="BodyText"/>
      </w:pPr>
      <w:r>
        <w:t xml:space="preserve">*Revised Data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rPr>
                <w:bCs/>
                <w:b/>
              </w:rPr>
              <w:t xml:space="preserve">Metric</w:t>
            </w:r>
          </w:p>
        </w:tc>
        <w:tc>
          <w:tcPr/>
          <w:p>
            <w:pPr>
              <w:pStyle w:val="Compact"/>
              <w:jc w:val="left"/>
            </w:pPr>
            <w:r>
              <w:rPr>
                <w:bCs/>
                <w:b/>
              </w:rPr>
              <w:t xml:space="preserve">Ideal Free-Space</w:t>
            </w:r>
          </w:p>
        </w:tc>
        <w:tc>
          <w:tcPr/>
          <w:p>
            <w:pPr>
              <w:pStyle w:val="Compact"/>
              <w:jc w:val="left"/>
            </w:pPr>
            <w:r>
              <w:rPr>
                <w:bCs/>
                <w:b/>
              </w:rPr>
              <w:t xml:space="preserve">Vancouver Urban (Heavy Rain)</w:t>
            </w:r>
          </w:p>
        </w:tc>
        <w:tc>
          <w:tcPr/>
          <w:p>
            <w:pPr>
              <w:pStyle w:val="Compact"/>
              <w:jc w:val="left"/>
            </w:pPr>
            <w:r>
              <w:rPr>
                <w:bCs/>
                <w:b/>
              </w:rPr>
              <w:t xml:space="preserve">Vancouver Urban (Dry)</w:t>
            </w:r>
          </w:p>
        </w:tc>
      </w:tr>
      <w:tr>
        <w:tc>
          <w:tcPr/>
          <w:p>
            <w:pPr>
              <w:pStyle w:val="Compact"/>
              <w:jc w:val="left"/>
            </w:pPr>
            <w:r>
              <w:t xml:space="preserve">Average Throughput</w:t>
            </w:r>
          </w:p>
        </w:tc>
        <w:tc>
          <w:tcPr/>
          <w:p>
            <w:pPr>
              <w:pStyle w:val="Compact"/>
              <w:jc w:val="left"/>
            </w:pPr>
            <w:r>
              <w:t xml:space="preserve">900 Mbps</w:t>
            </w:r>
          </w:p>
        </w:tc>
        <w:tc>
          <w:tcPr/>
          <w:p>
            <w:pPr>
              <w:pStyle w:val="Compact"/>
              <w:jc w:val="left"/>
            </w:pPr>
            <w:r>
              <w:t xml:space="preserve">650 Mbps (-28%)</w:t>
            </w:r>
          </w:p>
        </w:tc>
        <w:tc>
          <w:tcPr/>
          <w:p>
            <w:pPr>
              <w:pStyle w:val="Compact"/>
              <w:jc w:val="left"/>
            </w:pPr>
            <w:r>
              <w:t xml:space="preserve">870 Mbps (-3%)</w:t>
            </w:r>
          </w:p>
        </w:tc>
      </w:tr>
      <w:tr>
        <w:tc>
          <w:tcPr/>
          <w:p>
            <w:pPr>
              <w:pStyle w:val="Compact"/>
              <w:jc w:val="left"/>
            </w:pPr>
            <w:r>
              <w:t xml:space="preserve">Packet Loss Rate</w:t>
            </w:r>
          </w:p>
        </w:tc>
        <w:tc>
          <w:tcPr/>
          <w:p>
            <w:pPr>
              <w:pStyle w:val="Compact"/>
              <w:jc w:val="left"/>
            </w:pPr>
            <w:r>
              <w:t xml:space="preserve">&lt; 0.1%</w:t>
            </w:r>
          </w:p>
        </w:tc>
        <w:tc>
          <w:tcPr/>
          <w:p>
            <w:pPr>
              <w:pStyle w:val="Compact"/>
              <w:jc w:val="left"/>
            </w:pPr>
            <w:r>
              <w:t xml:space="preserve">2.5%</w:t>
            </w:r>
          </w:p>
        </w:tc>
        <w:tc>
          <w:tcPr/>
          <w:p>
            <w:pPr>
              <w:pStyle w:val="Compact"/>
              <w:jc w:val="left"/>
            </w:pPr>
            <w:r>
              <w:t xml:space="preserve">0.2%</w:t>
            </w:r>
          </w:p>
        </w:tc>
      </w:tr>
      <w:tr>
        <w:tc>
          <w:tcPr/>
          <w:p>
            <w:pPr>
              <w:pStyle w:val="Compact"/>
              <w:jc w:val="left"/>
            </w:pPr>
            <w:r>
              <w:t xml:space="preserve">Lag/Latency</w:t>
            </w:r>
          </w:p>
        </w:tc>
        <w:tc>
          <w:tcPr/>
          <w:p>
            <w:pPr>
              <w:pStyle w:val="Compact"/>
              <w:jc w:val="left"/>
            </w:pPr>
            <w:r>
              <w:t xml:space="preserve">&lt; 10ms</w:t>
            </w:r>
          </w:p>
        </w:tc>
        <w:tc>
          <w:tcPr/>
          <w:p>
            <w:pPr>
              <w:pStyle w:val="Compact"/>
              <w:jc w:val="left"/>
            </w:pPr>
            <w:r>
              <w:t xml:space="preserve">18ms</w:t>
            </w:r>
          </w:p>
        </w:tc>
        <w:tc>
          <w:tcPr/>
          <w:p>
            <w:pPr>
              <w:pStyle w:val="Compact"/>
              <w:jc w:val="left"/>
            </w:pPr>
            <w:r>
              <w:t xml:space="preserve">12ms</w:t>
            </w:r>
          </w:p>
        </w:tc>
      </w:tr>
    </w:tbl>
    <w:p>
      <w:pPr>
        <w:pStyle w:val="BodyText"/>
      </w:pPr>
      <w:r>
        <w:t xml:space="preserve">The results indicate that while mmWave signals are susceptible to attenuation due to rain—a frequent occurrence in</w:t>
      </w:r>
      <w:r>
        <w:t xml:space="preserve"> </w:t>
      </w:r>
      <w:r>
        <w:rPr>
          <w:bCs/>
          <w:b/>
        </w:rPr>
        <w:t xml:space="preserve">Canada Vancouver</w:t>
      </w:r>
      <w:r>
        <w:t xml:space="preserve">- the impact on overall user experience is manageable through adaptive coding and modulation schemes. The</w:t>
      </w:r>
      <w:r>
        <w:t xml:space="preserve"> </w:t>
      </w:r>
      <w:r>
        <w:rPr>
          <w:bCs/>
          <w:b/>
        </w:rPr>
        <w:t xml:space="preserve">Telecommunication Engineer</w:t>
      </w:r>
      <w:r>
        <w:t xml:space="preserve">'s implementation of dynamic frequency selection allowed for seamless handovers between sub-6 GHz and mmWave bands, thereby maintaining service continuity.</w:t>
      </w:r>
    </w:p>
    <w:bookmarkEnd w:id="27"/>
    <w:bookmarkStart w:id="28" w:name="X642b5b8454c5420b43a747d61d87510097da08f"/>
    <w:p>
      <w:pPr>
        <w:pStyle w:val="Heading2"/>
      </w:pPr>
      <w:r>
        <w:t xml:space="preserve">5. Discussion: Regional Specifics of Canada Vancouver</w:t>
      </w:r>
    </w:p>
    <w:p>
      <w:pPr>
        <w:pStyle w:val="FirstParagraph"/>
      </w:pPr>
      <w:r>
        <w:t xml:space="preserve">The data underscores the necessity of regional customization in telecommunications engineering. A generic deployment model would fail to account for the specific micro-climates and structural compositions of</w:t>
      </w:r>
      <w:r>
        <w:t xml:space="preserve"> </w:t>
      </w:r>
      <w:r>
        <w:rPr>
          <w:bCs/>
          <w:b/>
        </w:rPr>
        <w:t xml:space="preserve">Canada Vancouver</w:t>
      </w:r>
      <w:r>
        <w:t xml:space="preserve">. For instance, the high humidity levels accelerate corrosion in outdoor antenna components, requiring engineers to specify higher-grade materials than those used in drier Canadian regions like Alberta.</w:t>
      </w:r>
    </w:p>
    <w:p>
      <w:pPr>
        <w:pStyle w:val="BodyText"/>
      </w:pPr>
      <w:r>
        <w:t xml:space="preserve">Furthermore, regulatory compliance is a major facet of the work performed by a</w:t>
      </w:r>
      <w:r>
        <w:t xml:space="preserve"> </w:t>
      </w:r>
      <w:r>
        <w:rPr>
          <w:bCs/>
          <w:b/>
        </w:rPr>
        <w:t xml:space="preserve">Telecommunication Engineer</w:t>
      </w:r>
      <w:r>
        <w:t xml:space="preserve">. In Vancouver, heritage building protections limit where external antennas can be mounted. This constraint necessitates creative internal distribution systems (DAS) that were thoroughly tested in this laboratory session. The report confirms that these internal systems maintain signal integrity comparable to traditional external macro cells.</w:t>
      </w:r>
    </w:p>
    <w:bookmarkEnd w:id="28"/>
    <w:bookmarkStart w:id="29"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successfully demonstrates the technical viability of deploying advanced telecommunications infrastructure in complex urban environments. By focusing on the specific challenges of</w:t>
      </w:r>
      <w:r>
        <w:t xml:space="preserve"> </w:t>
      </w:r>
      <w:r>
        <w:rPr>
          <w:bCs/>
          <w:b/>
        </w:rPr>
        <w:t xml:space="preserve">Canada Vancouver</w:t>
      </w:r>
      <w:r>
        <w:t xml:space="preserve">, such as heavy rainfall and high-rise density, we have validated robust engineering solutions. The findings confirm that with proper calibration and adherence to Canadian standards, a skilled</w:t>
      </w:r>
      <w:r>
        <w:t xml:space="preserve"> </w:t>
      </w:r>
      <w:r>
        <w:rPr>
          <w:bCs/>
          <w:b/>
        </w:rPr>
        <w:t xml:space="preserve">Telecommunication Engineer</w:t>
      </w:r>
      <w:r>
        <w:t xml:space="preserve"> </w:t>
      </w:r>
      <w:r>
        <w:t xml:space="preserve">can ensure high-quality connectivity for end-users.</w:t>
      </w:r>
    </w:p>
    <w:p>
      <w:pPr>
        <w:pStyle w:val="BodyText"/>
      </w:pPr>
      <w:r>
        <w:t xml:space="preserve">The study highlights that regional specificity is not merely a logistical detail but a core component of engineering excellence. Future iterations of this research will expand the scope to include underground transit systems in Vancouver, further refining our understanding of signal propagation in three-dimensional urban spaces.</w:t>
      </w:r>
    </w:p>
    <w:bookmarkEnd w:id="29"/>
    <w:bookmarkStart w:id="30" w:name="references-and-compliance"/>
    <w:p>
      <w:pPr>
        <w:pStyle w:val="Heading2"/>
      </w:pPr>
      <w:r>
        <w:t xml:space="preserve">7. References and Compliance</w:t>
      </w:r>
    </w:p>
    <w:p>
      <w:pPr>
        <w:pStyle w:val="FirstParagraph"/>
      </w:pPr>
      <w:r>
        <w:t xml:space="preserve">All testing procedures described in this document comply with the technical standards set forth by Innovation, Science and Economic Development Canada (ISED). The methodologies align with international standards from the IEEE 802.11 working group, ensuring global interoperability while addressing local Canadian requirements.</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Lab Report - Canada Vancouver Context</dc:title>
  <dc:creator/>
  <dc:language>en</dc:language>
  <cp:keywords/>
  <dcterms:created xsi:type="dcterms:W3CDTF">2026-07-29T03:46:36Z</dcterms:created>
  <dcterms:modified xsi:type="dcterms:W3CDTF">2026-07-29T03:46:36Z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