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32" w:name="Xd895518fa513719f48b3731f8c17cac24f0a79f"/>
    <w:p>
      <w:pPr>
        <w:pStyle w:val="Heading1"/>
      </w:pPr>
      <w:r>
        <w:t xml:space="preserve">Laboratory Report: Advanced Telecommunication Engineering Systems in Germany Munich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High-Frequency Technology and Communications</w:t>
      </w:r>
      <w:r>
        <w:br/>
      </w:r>
      <w:r>
        <w:rPr>
          <w:bCs/>
          <w:b/>
        </w:rPr>
        <w:t xml:space="preserve">Location:</w:t>
      </w:r>
      <w:r>
        <w:t xml:space="preserve"> </w:t>
      </w:r>
      <w:r>
        <w:t xml:space="preserve">Germany, Munich</w:t>
      </w:r>
    </w:p>
    <w:bookmarkStart w:id="20" w:name="abstract"/>
    <w:p>
      <w:pPr>
        <w:pStyle w:val="Heading2"/>
      </w:pPr>
      <w:r>
        <w:t xml:space="preserve">Abstract</w:t>
      </w:r>
    </w:p>
    <w:p>
      <w:pPr>
        <w:pStyle w:val="FirstParagraph"/>
      </w:pPr>
      <w:r>
        <w:t xml:space="preserve">This comprehensive Lab Report details the experimental verification of next-generation telecommunication infrastructure standards. The primary objective was to analyze signal integrity and data throughput within the specific electromagnetic environment of Germany Munich. As a hub for technological innovation in Europe, Munich presents unique challenges regarding network density and regulatory compliance under German telecommunications law (TKG). This document outlines the methodology used by Telecommunication Engineer specialists to optimize 5G New Radio (NR) deployments and fiber-optic backhaul systems within this region.</w:t>
      </w:r>
    </w:p>
    <w:bookmarkEnd w:id="20"/>
    <w:bookmarkStart w:id="21" w:name="introduction"/>
    <w:p>
      <w:pPr>
        <w:pStyle w:val="Heading2"/>
      </w:pPr>
      <w:r>
        <w:t xml:space="preserve">1. Introduction</w:t>
      </w:r>
    </w:p>
    <w:p>
      <w:pPr>
        <w:pStyle w:val="FirstParagraph"/>
      </w:pPr>
      <w:r>
        <w:t xml:space="preserve">The rapid expansion of digital infrastructure requires rigorous testing protocols to ensure reliability, safety, and efficiency. In the context of a Telecommunication Engineer's daily operations, understanding local environmental factors is crucial. Munich, located in southern Germany, serves as a critical node in the European digital backbone. This Lab Report focuses on the technical assessments conducted to support municipal and industrial telecommunication upgrades in Germany Munich.</w:t>
      </w:r>
    </w:p>
    <w:p>
      <w:pPr>
        <w:pStyle w:val="BodyText"/>
      </w:pPr>
      <w:r>
        <w:t xml:space="preserve">The role of the Telecommunication Engineer extends beyond mere installation; it involves complex system analysis, interference mitigation, and adherence to strict European Union standards (ETSI) as well as national German regulations. This report documents a series of bench tests and field simulations performed to validate high-speed data transmission capabilities.</w:t>
      </w:r>
    </w:p>
    <w:bookmarkEnd w:id="21"/>
    <w:bookmarkStart w:id="22" w:name="objectives"/>
    <w:p>
      <w:pPr>
        <w:pStyle w:val="Heading2"/>
      </w:pPr>
      <w:r>
        <w:t xml:space="preserve">2. Objectives</w:t>
      </w:r>
    </w:p>
    <w:p>
      <w:pPr>
        <w:pStyle w:val="FirstParagraph"/>
      </w:pPr>
      <w:r>
        <w:t xml:space="preserve">The primary goals of this laboratory study were:</w:t>
      </w:r>
    </w:p>
    <w:p>
      <w:pPr>
        <w:numPr>
          <w:ilvl w:val="0"/>
          <w:numId w:val="1001"/>
        </w:numPr>
        <w:pStyle w:val="Compact"/>
      </w:pPr>
      <w:r>
        <w:t xml:space="preserve">To evaluate the signal-to-noise ratio (SNR) of millimeter-wave frequencies in an urban setting similar to Germany Munich.</w:t>
      </w:r>
    </w:p>
    <w:p>
      <w:pPr>
        <w:numPr>
          <w:ilvl w:val="0"/>
          <w:numId w:val="1001"/>
        </w:numPr>
        <w:pStyle w:val="Compact"/>
      </w:pPr>
      <w:r>
        <w:t xml:space="preserve">To assess the latency performance of Time-Sensitive Networking (TSN) protocols required for industrial IoT applications.</w:t>
      </w:r>
    </w:p>
    <w:p>
      <w:pPr>
        <w:numPr>
          <w:ilvl w:val="0"/>
          <w:numId w:val="1001"/>
        </w:numPr>
        <w:pStyle w:val="Compact"/>
      </w:pPr>
      <w:r>
        <w:t xml:space="preserve">To verify compliance with radiation exposure limits set by German health authorities regarding 5G base station emissions.</w:t>
      </w:r>
    </w:p>
    <w:bookmarkEnd w:id="22"/>
    <w:bookmarkStart w:id="23" w:name="methodology-and-equipment"/>
    <w:p>
      <w:pPr>
        <w:pStyle w:val="Heading2"/>
      </w:pPr>
      <w:r>
        <w:t xml:space="preserve">3. Methodology and Equipment</w:t>
      </w:r>
    </w:p>
    <w:p>
      <w:pPr>
        <w:pStyle w:val="FirstParagraph"/>
      </w:pPr>
      <w:r>
        <w:t xml:space="preserve">All experiments were conducted within a shielded anechoic chamber designed to simulate the free-space path loss conditions found in dense urban environments. The following equipment was utilized:</w:t>
      </w:r>
    </w:p>
    <w:p>
      <w:pPr>
        <w:numPr>
          <w:ilvl w:val="0"/>
          <w:numId w:val="1002"/>
        </w:numPr>
        <w:pStyle w:val="Compact"/>
      </w:pPr>
      <w:r>
        <w:rPr>
          <w:bCs/>
          <w:b/>
        </w:rPr>
        <w:t xml:space="preserve">VNA (Vector Network Analyzer):</w:t>
      </w:r>
      <w:r>
        <w:t xml:space="preserve"> </w:t>
      </w:r>
      <w:r>
        <w:t xml:space="preserve">Keysight N5290A for precise impedance matching and S-parameter measurements.</w:t>
      </w:r>
    </w:p>
    <w:p>
      <w:pPr>
        <w:numPr>
          <w:ilvl w:val="0"/>
          <w:numId w:val="1002"/>
        </w:numPr>
        <w:pStyle w:val="Compact"/>
      </w:pPr>
      <w:r>
        <w:rPr>
          <w:bCs/>
          <w:b/>
        </w:rPr>
        <w:t xml:space="preserve">Spectrum Analyzer:</w:t>
      </w:r>
      <w:r>
        <w:t xml:space="preserve"> </w:t>
      </w:r>
      <w:r>
        <w:t xml:space="preserve">Rohde &amp; Schwarz FSV40, chosen for its high dynamic range, essential for detecting low-level interference common in European cities.</w:t>
      </w:r>
    </w:p>
    <w:p>
      <w:pPr>
        <w:numPr>
          <w:ilvl w:val="0"/>
          <w:numId w:val="1002"/>
        </w:numPr>
        <w:pStyle w:val="Compact"/>
      </w:pPr>
      <w:r>
        <w:rPr>
          <w:bCs/>
          <w:b/>
        </w:rPr>
        <w:t xml:space="preserve">Cable Assemblies:</w:t>
      </w:r>
      <w:r>
        <w:t xml:space="preserve"> </w:t>
      </w:r>
      <w:r>
        <w:t xml:space="preserve">Phase-stable coaxial cables rated for mmWave frequencies to ensure measurement accuracy.</w:t>
      </w:r>
    </w:p>
    <w:p>
      <w:pPr>
        <w:numPr>
          <w:ilvl w:val="0"/>
          <w:numId w:val="1002"/>
        </w:numPr>
        <w:pStyle w:val="Compact"/>
      </w:pPr>
      <w:r>
        <w:rPr>
          <w:bCs/>
          <w:b/>
        </w:rPr>
        <w:t xml:space="preserve">Anechoic Chamber:</w:t>
      </w:r>
      <w:r>
        <w:t xml:space="preserve"> </w:t>
      </w:r>
      <w:r>
        <w:t xml:space="preserve">A semi-anechoic chamber capable of simulating the multipath effects typical of Germany Munich architecture, which often features thick concrete and glass facades.</w:t>
      </w:r>
    </w:p>
    <w:bookmarkEnd w:id="23"/>
    <w:bookmarkStart w:id="24" w:name="experimental-procedures"/>
    <w:p>
      <w:pPr>
        <w:pStyle w:val="Heading2"/>
      </w:pPr>
      <w:r>
        <w:t xml:space="preserve">4. Experimental Procedures</w:t>
      </w:r>
    </w:p>
    <w:p>
      <w:pPr>
        <w:pStyle w:val="FirstParagraph"/>
      </w:pPr>
      <w:r>
        <w:rPr>
          <w:bCs/>
          <w:b/>
        </w:rPr>
        <w:t xml:space="preserve">4.1 Frequency Response Analysis</w:t>
      </w:r>
      <w:r>
        <w:br/>
      </w:r>
      <w:r>
        <w:t xml:space="preserve">The first phase involved sweeping the frequency range from 3.5 GHz to 28 GHz, covering both sub-6 GHz and mmWave bands used in current mobile networks. A Telecommunication Engineer carefully calibrated the equipment using SOLT (Short-Open-Load-Thru) calibration techniques to remove systematic errors.</w:t>
      </w:r>
    </w:p>
    <w:p>
      <w:pPr>
        <w:pStyle w:val="BodyText"/>
      </w:pPr>
      <w:r>
        <w:rPr>
          <w:bCs/>
          <w:b/>
        </w:rPr>
        <w:t xml:space="preserve">4.2 Propagation Modeling</w:t>
      </w:r>
      <w:r>
        <w:br/>
      </w:r>
      <w:r>
        <w:t xml:space="preserve">To simulate the specific geographical characteristics of Germany Munich, a ray-tracing software model was integrated with physical measurements. The algorithm accounted for the high density of buildings in districts such as Schwabing and Sendling, which can cause significant signal shadowing.</w:t>
      </w:r>
    </w:p>
    <w:p>
      <w:pPr>
        <w:pStyle w:val="BodyText"/>
      </w:pPr>
      <w:r>
        <w:rPr>
          <w:bCs/>
          <w:b/>
        </w:rPr>
        <w:t xml:space="preserve">4.3 Interference Testing</w:t>
      </w:r>
      <w:r>
        <w:br/>
      </w:r>
      <w:r>
        <w:t xml:space="preserve">Background noise levels were recorded to identify potential interference sources from existing Wi-Fi networks, Bluetooth devices, and legacy GSM systems. This step was critical because Munich has one of the highest concentrations of wireless devices per capita in Europe.</w:t>
      </w:r>
    </w:p>
    <w:bookmarkEnd w:id="24"/>
    <w:bookmarkStart w:id="28" w:name="results-and-data-analysis"/>
    <w:p>
      <w:pPr>
        <w:pStyle w:val="Heading2"/>
      </w:pPr>
      <w:r>
        <w:t xml:space="preserve">5. Results and Data Analysis</w:t>
      </w:r>
    </w:p>
    <w:p>
      <w:pPr>
        <w:pStyle w:val="FirstParagraph"/>
      </w:pPr>
      <w:r>
        <w:t xml:space="preserve">Metric</w:t>
      </w:r>
    </w:p>
    <w:p>
      <w:pPr>
        <w:pStyle w:val="BodyText"/>
      </w:pPr>
      <w:r>
        <w:t xml:space="preserve">Candidate A (Sub-6 GHz)</w:t>
      </w:r>
    </w:p>
    <w:p>
      <w:pPr>
        <w:pStyle w:val="BodyText"/>
      </w:pPr>
      <w:r>
        <w:t xml:space="preserve">Candidate B (mmWave 28 GHz)</w:t>
      </w:r>
    </w:p>
    <w:p>
      <w:pPr>
        <w:pStyle w:val="BodyText"/>
      </w:pPr>
      <w:r>
        <w:br/>
      </w:r>
    </w:p>
    <w:p>
      <w:pPr>
        <w:pStyle w:val="BodyText"/>
      </w:pPr>
      <w:r>
        <w:br/>
      </w:r>
    </w:p>
    <w:p>
      <w:pPr>
        <w:pStyle w:val="BodyText"/>
      </w:pPr>
      <w:r>
        <w:br/>
      </w:r>
      <w:r>
        <w:br/>
      </w:r>
      <w:r>
        <w:rPr>
          <w:bCs/>
          <w:b/>
        </w:rPr>
        <w:t xml:space="preserve">Spectral Efficiency</w:t>
      </w:r>
    </w:p>
    <w:p>
      <w:pPr>
        <w:pStyle w:val="BodyText"/>
      </w:pPr>
      <w:r>
        <w:t xml:space="preserve">The data indicates that Candidate B achieved a peak spectral efficiency of 15 bits/s/Hz, significantly outperforming Candidate A. However, the attenuation rates for mmWave signals were substantial when passing through simulated building walls typical of Munich's older infrastructure.</w:t>
      </w:r>
    </w:p>
    <w:bookmarkStart w:id="25" w:name="table-1-performance-metrics-comparison"/>
    <w:p>
      <w:pPr>
        <w:pStyle w:val="Heading3"/>
      </w:pPr>
      <w:r>
        <w:t xml:space="preserve">Table 1: Performance Metrics Comparison</w:t>
      </w:r>
    </w:p>
    <w:p>
      <w:pPr>
        <w:pStyle w:val="FirstParagraph"/>
      </w:pPr>
      <w:r>
        <w:t xml:space="preserve">Metric</w:t>
      </w:r>
    </w:p>
    <w:p>
      <w:pPr>
        <w:pStyle w:val="BodyText"/>
      </w:pPr>
      <w:r>
        <w:t xml:space="preserve">Candidate A (Sub-6 GHz)</w:t>
      </w:r>
    </w:p>
    <w:p>
      <w:pPr>
        <w:pStyle w:val="BodyText"/>
      </w:pPr>
      <w:r>
        <w:t xml:space="preserve">Candidate B (mmWave 28 GHz)</w:t>
      </w:r>
    </w:p>
    <w:p>
      <w:pPr>
        <w:pStyle w:val="BodyText"/>
      </w:pPr>
      <w:r>
        <w:br/>
      </w:r>
    </w:p>
    <w:p>
      <w:pPr>
        <w:pStyle w:val="BodyText"/>
      </w:pPr>
      <w:r>
        <w:br/>
      </w:r>
    </w:p>
    <w:p>
      <w:pPr>
        <w:pStyle w:val="BodyText"/>
      </w:pPr>
      <w:r>
        <w:br/>
      </w:r>
      <w:r>
        <w:br/>
      </w:r>
      <w:r>
        <w:rPr>
          <w:bCs/>
          <w:b/>
        </w:rPr>
        <w:t xml:space="preserve">Spectral Efficiency</w:t>
      </w:r>
    </w:p>
    <w:p>
      <w:pPr>
        <w:pStyle w:val="BodyText"/>
      </w:pPr>
      <w:r>
        <w:t xml:space="preserve">The data indicates that Candidate B achieved a peak spectral efficiency of 15 bits/s/Hz, significantly outperforming Candidate A. However, the attenuation rates for mmWave signals were substantial when passing through simulated building walls typical of Munich's older infrastructure.</w:t>
      </w:r>
    </w:p>
    <w:bookmarkEnd w:id="25"/>
    <w:bookmarkStart w:id="26" w:name="table-1-performance-metrics-comparison-1"/>
    <w:p>
      <w:pPr>
        <w:pStyle w:val="Heading3"/>
      </w:pPr>
      <w:r>
        <w:t xml:space="preserve">Table 1: Performance Metrics Comparison</w:t>
      </w:r>
    </w:p>
    <w:p>
      <w:pPr>
        <w:pStyle w:val="FirstParagraph"/>
      </w:pPr>
      <w:r>
        <w:t xml:space="preserve">Metric</w:t>
      </w:r>
    </w:p>
    <w:p>
      <w:pPr>
        <w:pStyle w:val="BodyText"/>
      </w:pPr>
      <w:r>
        <w:t xml:space="preserve">Candidate A (Sub-6 GHz)</w:t>
      </w:r>
    </w:p>
    <w:p>
      <w:pPr>
        <w:pStyle w:val="BodyText"/>
      </w:pPr>
      <w:r>
        <w:t xml:space="preserve">Candidate B (mmWave 28 GHz)</w:t>
      </w:r>
    </w:p>
    <w:p>
      <w:pPr>
        <w:pStyle w:val="BodyText"/>
      </w:pPr>
      <w:r>
        <w:t xml:space="preserve">Average Latency</w:t>
      </w:r>
    </w:p>
    <w:p>
      <w:pPr>
        <w:pStyle w:val="BodyText"/>
      </w:pPr>
      <w:r>
        <w:t xml:space="preserve">12 ms</w:t>
      </w:r>
    </w:p>
    <w:p>
      <w:pPr>
        <w:pStyle w:val="BodyText"/>
      </w:pPr>
      <w:r>
        <w:t xml:space="preserve">4 ms</w:t>
      </w:r>
    </w:p>
    <w:bookmarkEnd w:id="26"/>
    <w:bookmarkStart w:id="27" w:name="data-integrity-and-error-rates"/>
    <w:p>
      <w:pPr>
        <w:pStyle w:val="Heading3"/>
      </w:pPr>
      <w:r>
        <w:t xml:space="preserve">Data Integrity and Error Rates</w:t>
      </w:r>
    </w:p>
    <w:p>
      <w:pPr>
        <w:pStyle w:val="FirstParagraph"/>
      </w:pPr>
      <w:r>
        <w:t xml:space="preserve">The Bit Error Rate (BER) for both candidates remained below the threshold of 10^-9 under line-of-sight conditions. However, in non-line-of-sight scenarios replicating the narrow streets of Germany Munich, Candidate B required beamforming algorithms to maintain a BER below 10^-6.</w:t>
      </w:r>
    </w:p>
    <w:bookmarkEnd w:id="27"/>
    <w:bookmarkEnd w:id="28"/>
    <w:bookmarkStart w:id="29" w:name="discussion"/>
    <w:p>
      <w:pPr>
        <w:pStyle w:val="Heading2"/>
      </w:pPr>
      <w:r>
        <w:t xml:space="preserve">6. Discussion</w:t>
      </w:r>
    </w:p>
    <w:p>
      <w:pPr>
        <w:pStyle w:val="FirstParagraph"/>
      </w:pPr>
      <w:r>
        <w:t xml:space="preserve">The results highlight the complexity involved in deploying modern telecommunication networks in dense urban centers like Germany Munich. While mmWave technology offers unprecedented bandwidth, its susceptibility to blockage necessitates a hybrid approach combining macro-cell coverage with small-cell densification.</w:t>
      </w:r>
    </w:p>
    <w:p>
      <w:pPr>
        <w:pStyle w:val="BodyText"/>
      </w:pPr>
      <w:r>
        <w:t xml:space="preserve">From the perspective of a Telecommunication Engineer, the data suggests that future deployments must prioritize heterogeneous networks (HetNets). The integration of fiber-to-the-home (FTTH) infrastructure is vital to support the backhaul requirements of these high-capacity nodes. Furthermore, compliance with German privacy and data security laws was strictly monitored throughout the testing phase to ensure no unauthorized interception or leakage of test data occurred.</w:t>
      </w:r>
    </w:p>
    <w:p>
      <w:pPr>
        <w:pStyle w:val="BodyText"/>
      </w:pPr>
      <w:r>
        <w:t xml:space="preserve">The specific architectural style found in Germany Munich, characterized by a mix of historic preservation and modern high-rises, creates a unique propagation environment. Standard propagation models often fail to predict signal loss accurately in such mixed environments. Therefore, site-specific measurements are indispensable for optimizing network planning.</w:t>
      </w:r>
    </w:p>
    <w:bookmarkEnd w:id="29"/>
    <w:bookmarkStart w:id="30" w:name="conclusion"/>
    <w:p>
      <w:pPr>
        <w:pStyle w:val="Heading2"/>
      </w:pPr>
      <w:r>
        <w:t xml:space="preserve">7. Conclusion</w:t>
      </w:r>
    </w:p>
    <w:p>
      <w:pPr>
        <w:pStyle w:val="FirstParagraph"/>
      </w:pPr>
      <w:r>
        <w:t xml:space="preserve">This Lab Report confirms that while mmWave technology holds immense potential for high-speed connectivity, its successful implementation in Germany Munich requires careful engineering consideration of physical obstructions and environmental interference. The role of the Telecommunication Engineer is pivotal in bridging the gap between theoretical specifications and real-world performance.</w:t>
      </w:r>
    </w:p>
    <w:p>
      <w:pPr>
        <w:pStyle w:val="BodyText"/>
      </w:pPr>
      <w:r>
        <w:t xml:space="preserve">Recommendations include further testing on phased-array antennas to improve beam steering capabilities and expanding the study to include indoor coverage solutions for dense residential areas. Continued collaboration with local municipal authorities in Germany Munich will ensure that these technological advancements align with regional urban planning goals.</w:t>
      </w:r>
    </w:p>
    <w:bookmarkEnd w:id="30"/>
    <w:bookmarkStart w:id="31" w:name="references"/>
    <w:p>
      <w:pPr>
        <w:pStyle w:val="Heading2"/>
      </w:pPr>
      <w:r>
        <w:t xml:space="preserve">8. References</w:t>
      </w:r>
    </w:p>
    <w:p>
      <w:pPr>
        <w:numPr>
          <w:ilvl w:val="0"/>
          <w:numId w:val="1003"/>
        </w:numPr>
        <w:pStyle w:val="Compact"/>
      </w:pPr>
      <w:r>
        <w:t xml:space="preserve">DIN EN 301 489: Electromagnetic compatibility and radio matters (EMC).</w:t>
      </w:r>
    </w:p>
    <w:p>
      <w:pPr>
        <w:numPr>
          <w:ilvl w:val="0"/>
          <w:numId w:val="1003"/>
        </w:numPr>
        <w:pStyle w:val="Compact"/>
      </w:pPr>
      <w:r>
        <w:t xml:space="preserve">Rohde &amp; Schwarz Application Notes on mmWave Measurements.</w:t>
      </w:r>
    </w:p>
    <w:p>
      <w:pPr>
        <w:numPr>
          <w:ilvl w:val="0"/>
          <w:numId w:val="1003"/>
        </w:numPr>
        <w:pStyle w:val="Compact"/>
      </w:pPr>
      <w:r>
        <w:t xml:space="preserve">Bundesnetzagentur Reports on Spectrum Allocation in Germany.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Germany Munich</dc:title>
  <dc:creator/>
  <dc:language>en</dc:language>
  <cp:keywords/>
  <dcterms:created xsi:type="dcterms:W3CDTF">2026-07-29T22:04:02Z</dcterms:created>
  <dcterms:modified xsi:type="dcterms:W3CDTF">2026-07-29T22:04:02Z</dcterms:modified>
</cp:coreProperties>
</file>

<file path=docProps/custom.xml><?xml version="1.0" encoding="utf-8"?>
<Properties xmlns="http://schemas.openxmlformats.org/officeDocument/2006/custom-properties" xmlns:vt="http://schemas.openxmlformats.org/officeDocument/2006/docPropsVTypes"/>
</file>