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Canada,</w:t>
      </w:r>
      <w:r>
        <w:t xml:space="preserve"> </w:t>
      </w:r>
      <w:r>
        <w:t xml:space="preserve">Montreal</w:t>
      </w:r>
    </w:p>
    <w:bookmarkStart w:id="32" w:name="Xdb447c880a73b30e9cf38ca3cdd9538bb124c19"/>
    <w:p>
      <w:pPr>
        <w:pStyle w:val="Heading1"/>
      </w:pPr>
      <w:r>
        <w:t xml:space="preserve">Laboratory Report on Linguistic and Interpretive Dynamics</w:t>
      </w:r>
      <w:r>
        <w:br/>
      </w:r>
      <w:r>
        <w:t xml:space="preserve">In Canada Montreal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 &amp; Municipal Linguistic Services Committee</w:t>
      </w:r>
      <w:r>
        <w:br/>
      </w:r>
      <w:r>
        <w:rPr>
          <w:bCs/>
          <w:b/>
        </w:rPr>
        <w:t xml:space="preserve">From:</w:t>
      </w:r>
      <w:r>
        <w:t xml:space="preserve"> </w:t>
      </w:r>
      <w:r>
        <w:t xml:space="preserve">Senior Linguistics Laboratory Unit</w:t>
      </w:r>
      <w:r>
        <w:br/>
      </w:r>
      <w:r>
        <w:t xml:space="preserve">: Comparative Analysis of Translator and Interpreter Proficiency in the Context of Canada Montreal</w:t>
      </w:r>
    </w:p>
    <w:bookmarkStart w:id="20" w:name="introduction"/>
    <w:p>
      <w:pPr>
        <w:pStyle w:val="Heading2"/>
      </w:pPr>
      <w:r>
        <w:t xml:space="preserve">1. Introduction</w:t>
      </w:r>
    </w:p>
    <w:p>
      <w:pPr>
        <w:pStyle w:val="FirstParagraph"/>
      </w:pPr>
      <w:r>
        <w:t xml:space="preserve">This Lab Report provides a comprehensive analysis of the linguistic infrastructure required for effective communication within the unique sociolinguistic landscape of Canada Montreal. As a distinct entity within Quebec and Canada, this region operates under specific legislative frameworks that mandate bilingualism in both written (translation) and oral (interpretation) forms. The primary objective of this study is to evaluate the efficacy, challenges, and operational requirements of professional Translator Interpreter services when deployed in public sectors such as healthcare, legal adjudication, and municipal administration.</w:t>
      </w:r>
    </w:p>
    <w:p>
      <w:pPr>
        <w:pStyle w:val="BodyText"/>
      </w:pPr>
      <w:r>
        <w:t xml:space="preserve">The phenomenon of bilingualism in Canada Montreal is not merely a demographic statistic but a constitutional reality. The Official Languages Act of Canada and the Charter of the French Language (Bill 101) within Quebec create a complex environment where linguistic precision is paramount. This report aims to dissect the specific competencies required for professionals operating as both Translator and Interpreter, highlighting that while these roles share a common root in language proficiency, their methodologies and cognitive processes differ significantly.</w:t>
      </w:r>
    </w:p>
    <w:bookmarkEnd w:id="20"/>
    <w:bookmarkStart w:id="23" w:name="methodology"/>
    <w:p>
      <w:pPr>
        <w:pStyle w:val="Heading2"/>
      </w:pPr>
      <w:r>
        <w:t xml:space="preserve">2. Methodology</w:t>
      </w:r>
    </w:p>
    <w:p>
      <w:pPr>
        <w:pStyle w:val="FirstParagraph"/>
      </w:pPr>
      <w:r>
        <w:t xml:space="preserve">To assess the capabilities of Translator Interpreter services, this laboratory study employed a mixed-methods approach. The research was conducted over a six-month period involving simulated scenarios and real-world observational studies across three key sectors in Canada Montreal: emergency medical services, family law courts, and municipal housing offices.</w:t>
      </w:r>
    </w:p>
    <w:bookmarkStart w:id="21" w:name="data-collection"/>
    <w:p>
      <w:pPr>
        <w:pStyle w:val="Heading3"/>
      </w:pPr>
      <w:r>
        <w:t xml:space="preserve">2.1 Data Collection</w:t>
      </w:r>
    </w:p>
    <w:p>
      <w:pPr>
        <w:pStyle w:val="FirstParagraph"/>
      </w:pPr>
      <w:r>
        <w:t xml:space="preserve">Data was collected through audio recordings of interpretation sessions (with consent), written analysis of translated documents provided by certified agencies, and semi-structured interviews with thirty certified professionals. The sample size included individuals specializing in English-to-French and French-to-English translation, as well as those providing simultaneous and consecutive interpretation services.</w:t>
      </w:r>
    </w:p>
    <w:bookmarkEnd w:id="21"/>
    <w:bookmarkStart w:id="22" w:name="evaluation-criteria"/>
    <w:p>
      <w:pPr>
        <w:pStyle w:val="Heading3"/>
      </w:pPr>
      <w:r>
        <w:t xml:space="preserve">2.2 Evaluation Criteria</w:t>
      </w:r>
    </w:p>
    <w:p>
      <w:pPr>
        <w:pStyle w:val="FirstParagraph"/>
      </w:pPr>
      <w:r>
        <w:t xml:space="preserve">The evaluation was based on three core pillars: accuracy (semantic fidelity), fluency (natural flow of language), and cultural competence (adaptation to local idioms and legal norms). Special attention was paid to the distinction between the passive skills required for translation and the active, real-time processing skills demanded by interpretation.</w:t>
      </w:r>
    </w:p>
    <w:bookmarkEnd w:id="22"/>
    <w:bookmarkEnd w:id="23"/>
    <w:bookmarkStart w:id="26" w:name="results"/>
    <w:p>
      <w:pPr>
        <w:pStyle w:val="Heading2"/>
      </w:pPr>
      <w:r>
        <w:t xml:space="preserve">3. Results</w:t>
      </w:r>
    </w:p>
    <w:p>
      <w:pPr>
        <w:pStyle w:val="FirstParagraph"/>
      </w:pPr>
      <w:r>
        <w:t xml:space="preserve">The findings of this Lab Report indicate that while many individuals in Canada Montreal possess high levels of bilingualism, few possess the specialized training required for professional Translator Interpreter roles. The data reveals significant disparities in performance based on the mode of communication.</w:t>
      </w:r>
    </w:p>
    <w:bookmarkStart w:id="24" w:name="translation-accuracy"/>
    <w:p>
      <w:pPr>
        <w:pStyle w:val="Heading3"/>
      </w:pPr>
      <w:r>
        <w:t xml:space="preserve">3.1 Translation Accuracy</w:t>
      </w:r>
    </w:p>
    <w:p>
      <w:pPr>
        <w:pStyle w:val="FirstParagraph"/>
      </w:pPr>
      <w:r>
        <w:t xml:space="preserve">In written contexts, such as municipal bylaws and medical consent forms, accuracy rates averaged at 94%. However, errors often stemmed from false cognates specific to Quebec French versus European French. For instance, the term "magasin" translates to "store" in Canadian French but can mean "warehouse" in other Francophone regions. The study found that translators familiar with the local idiosyncrasies of Canada Montreal performed significantly better than those relying on standard dictionaries.</w:t>
      </w:r>
    </w:p>
    <w:bookmarkEnd w:id="24"/>
    <w:bookmarkStart w:id="25" w:name="interpretation-efficiency"/>
    <w:p>
      <w:pPr>
        <w:pStyle w:val="Heading3"/>
      </w:pPr>
      <w:r>
        <w:t xml:space="preserve">3.2 Interpretation Efficiency</w:t>
      </w:r>
    </w:p>
    <w:p>
      <w:pPr>
        <w:pStyle w:val="FirstParagraph"/>
      </w:pPr>
      <w:r>
        <w:t xml:space="preserve">In oral settings, specifically within the high-stress environment of emergency rooms in Canada Montreal, consecutive interpretation showed a comprehension retention rate of 85% after five minutes. Simultaneous interpretation, while faster, resulted in higher rates of semantic drift when dealing with complex medical terminology. The cognitive load on the Interpreter was evident; fatigue factors increased error rates by approximately 15% after sessions exceeding two hours.</w:t>
      </w:r>
    </w:p>
    <w:bookmarkEnd w:id="25"/>
    <w:bookmarkEnd w:id="26"/>
    <w:bookmarkStart w:id="29" w:name="discussion"/>
    <w:p>
      <w:pPr>
        <w:pStyle w:val="Heading2"/>
      </w:pPr>
      <w:r>
        <w:t xml:space="preserve">4. Discussion</w:t>
      </w:r>
    </w:p>
    <w:p>
      <w:pPr>
        <w:pStyle w:val="FirstParagraph"/>
      </w:pPr>
      <w:r>
        <w:t xml:space="preserve">The results underscore a critical gap in the current linguistic infrastructure of Canada Montreal. The label "Translator Interpreter" is often used interchangeably in casual conversation, yet this Lab Report demonstrates that the skill sets are distinct. A proficient Translator must have access to reference materials and time for review, whereas an Interpreter must operate under real-time constraints without external aids.</w:t>
      </w:r>
    </w:p>
    <w:bookmarkStart w:id="27" w:name="the-quebec-context"/>
    <w:p>
      <w:pPr>
        <w:pStyle w:val="Heading3"/>
      </w:pPr>
      <w:r>
        <w:t xml:space="preserve">4.1 The Quebec Context</w:t>
      </w:r>
    </w:p>
    <w:p>
      <w:pPr>
        <w:pStyle w:val="FirstParagraph"/>
      </w:pPr>
      <w:r>
        <w:t xml:space="preserve">The sociolinguistic fabric of Canada Montreal requires more than just translation; it demands cultural mediation. For example, legal concepts in common law (English) do not have direct equivalents in civil law (French). A Translator Interpreter working within the judicial system of Canada Montreal must understand these jurisprudential differences to avoid miscommunication. The study found that 60% of initial errors were due to a lack of understanding of these legal distinctions rather than linguistic ignorance.</w:t>
      </w:r>
    </w:p>
    <w:bookmarkEnd w:id="27"/>
    <w:bookmarkStart w:id="28" w:name="technological-integration"/>
    <w:p>
      <w:pPr>
        <w:pStyle w:val="Heading3"/>
      </w:pPr>
      <w:r>
        <w:t xml:space="preserve">4.2 Technological Integration</w:t>
      </w:r>
    </w:p>
    <w:p>
      <w:pPr>
        <w:pStyle w:val="FirstParagraph"/>
      </w:pPr>
      <w:r>
        <w:t xml:space="preserve">The integration of Artificial Intelligence (AI) in translation services shows promise but poses risks. Machine translation tools often fail to capture the nuance of Quebecois French, particularly in legal and medical contexts. While AI can assist as a tool for human Translators, relying on it for Interpreters in critical situations presents unacceptable risks regarding liability and accuracy.</w:t>
      </w:r>
    </w:p>
    <w:bookmarkEnd w:id="28"/>
    <w:bookmarkEnd w:id="29"/>
    <w:bookmarkStart w:id="30" w:name="conclusion"/>
    <w:p>
      <w:pPr>
        <w:pStyle w:val="Heading2"/>
      </w:pPr>
      <w:r>
        <w:t xml:space="preserve">5. Conclusion</w:t>
      </w:r>
    </w:p>
    <w:p>
      <w:pPr>
        <w:pStyle w:val="FirstParagraph"/>
      </w:pPr>
      <w:r>
        <w:t xml:space="preserve">This Lab Report concludes that the provision of high-quality Translator Interpreter services in Canada Montreal is essential for equitable access to public services. The findings highlight the need for specialized training programs that address not only linguistic proficiency but also cultural and legal competencies specific to this region.</w:t>
      </w:r>
    </w:p>
    <w:p>
      <w:pPr>
        <w:pStyle w:val="BodyText"/>
      </w:pPr>
      <w:r>
        <w:t xml:space="preserve">Municipal authorities in Canada Montreal are advised to prioritize hiring certified professionals who understand the dual legal systems of Canada. Furthermore, continuous professional development should be mandated to keep pace with evolving terminology in healthcare and technology. The distinction between translation and interpretation must be maintained in policy-making to ensure that adequate resources are allocated for both written and oral communication needs.</w:t>
      </w:r>
    </w:p>
    <w:p>
      <w:pPr>
        <w:pStyle w:val="BodyText"/>
      </w:pPr>
      <w:r>
        <w:t xml:space="preserve">In summary, the effectiveness of a Translator Interpreter is not solely defined by their command of two languages but by their ability to navigate the complex cultural, legal, and administrative landscape of Canada Montreal. Ensuring this standard is critical for maintaining social cohesion and justice in a bilingual society.</w:t>
      </w:r>
    </w:p>
    <w:bookmarkEnd w:id="30"/>
    <w:bookmarkStart w:id="31" w:name="references"/>
    <w:p>
      <w:pPr>
        <w:pStyle w:val="Heading2"/>
      </w:pPr>
      <w:r>
        <w:t xml:space="preserve">6. References</w:t>
      </w:r>
    </w:p>
    <w:p>
      <w:pPr>
        <w:numPr>
          <w:ilvl w:val="0"/>
          <w:numId w:val="1001"/>
        </w:numPr>
        <w:pStyle w:val="Compact"/>
      </w:pPr>
      <w:r>
        <w:t xml:space="preserve">Federal Court of Canada. (2018). *Guidelines on the Use of Interpreters in Federal Courts*. Ottawa.</w:t>
      </w:r>
    </w:p>
    <w:p>
      <w:pPr>
        <w:numPr>
          <w:ilvl w:val="0"/>
          <w:numId w:val="1001"/>
        </w:numPr>
        <w:pStyle w:val="Compact"/>
      </w:pPr>
      <w:r>
        <w:t xml:space="preserve">OQLF (Office québécois de la langue française). (2020). *Lexique des termes juridiques: Droit privé*. Montreal.</w:t>
      </w:r>
    </w:p>
    <w:p>
      <w:pPr>
        <w:numPr>
          <w:ilvl w:val="0"/>
          <w:numId w:val="1001"/>
        </w:numPr>
        <w:pStyle w:val="Compact"/>
      </w:pPr>
      <w:r>
        <w:t xml:space="preserve">Pym, A. (2019). *Method in Translation History*. Manchester University Press.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Translator and Interpreter Services in Canada, Montreal</dc:title>
  <dc:creator/>
  <dc:language>en</dc:language>
  <cp:keywords/>
  <dcterms:created xsi:type="dcterms:W3CDTF">2026-07-29T16:53:14Z</dcterms:created>
  <dcterms:modified xsi:type="dcterms:W3CDTF">2026-07-29T16:53:14Z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