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Analysis</w:t>
      </w:r>
      <w:r>
        <w:t xml:space="preserve"> </w:t>
      </w:r>
      <w:r>
        <w:t xml:space="preserve">and</w:t>
      </w:r>
      <w:r>
        <w:t xml:space="preserve"> </w:t>
      </w:r>
      <w:r>
        <w:t xml:space="preserve">Implementation</w:t>
      </w:r>
      <w:r>
        <w:t xml:space="preserve"> </w:t>
      </w:r>
      <w:r>
        <w:t xml:space="preserve">of</w:t>
      </w:r>
      <w:r>
        <w:t xml:space="preserve"> </w:t>
      </w:r>
      <w:r>
        <w:t xml:space="preserve">Translator/Interpreter</w:t>
      </w:r>
      <w:r>
        <w:t xml:space="preserve"> </w:t>
      </w:r>
      <w:r>
        <w:t xml:space="preserve">Services</w:t>
      </w:r>
      <w:r>
        <w:t xml:space="preserve"> </w:t>
      </w:r>
      <w:r>
        <w:t xml:space="preserve">in</w:t>
      </w:r>
      <w:r>
        <w:t xml:space="preserve"> </w:t>
      </w:r>
      <w:r>
        <w:t xml:space="preserve">Canada</w:t>
      </w:r>
      <w:r>
        <w:t xml:space="preserve"> </w:t>
      </w:r>
      <w:r>
        <w:t xml:space="preserve">Toronto</w:t>
      </w:r>
    </w:p>
    <w:bookmarkStart w:id="34" w:name="linguistic-operations-lab-report"/>
    <w:p>
      <w:pPr>
        <w:pStyle w:val="Heading1"/>
      </w:pPr>
      <w:r>
        <w:t xml:space="preserve">Linguistic Operations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Multilingual Services Research</w:t>
      </w:r>
      <w:r>
        <w:br/>
      </w:r>
      <w:r>
        <w:rPr>
          <w:bCs/>
          <w:b/>
        </w:rPr>
        <w:t xml:space="preserve">District:</w:t>
      </w:r>
      <w:r>
        <w:t xml:space="preserve"> </w:t>
      </w:r>
      <w:r>
        <w:t xml:space="preserve">Canada Toronto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details the comprehensive analysis and operational evaluation of Translator Interpreter systems designed specifically for the dynamic linguistic landscape of Canada Toronto. As one of the most multicultural metropolitan areas in North America, Canada Toronto requires robust, accurate, and culturally sensitive language solutions. This study examines the efficacy of both written translation (Translator) and oral interpretation (Interpreter) services within local healthcare, legal, and municipal sectors. The findings indicate that while technological integration has improved efficiency in written domains (</w:t>
      </w:r>
      <w:r>
        <w:rPr>
          <w:bCs/>
          <w:b/>
        </w:rPr>
        <w:t xml:space="preserve">Translator</w:t>
      </w:r>
      <w:r>
        <w:t xml:space="preserve"> </w:t>
      </w:r>
      <w:r>
        <w:t xml:space="preserve">applications), human-mediated</w:t>
      </w:r>
      <w:r>
        <w:t xml:space="preserve"> </w:t>
      </w:r>
      <w:r>
        <w:rPr>
          <w:bCs/>
          <w:b/>
        </w:rPr>
        <w:t xml:space="preserve">Interpreter</w:t>
      </w:r>
      <w:r>
        <w:t xml:space="preserve"> </w:t>
      </w:r>
      <w:r>
        <w:t xml:space="preserve">services remain critical for high-stakes oral communications in Canada Toronto.</w:t>
      </w:r>
    </w:p>
    <w:bookmarkEnd w:id="20"/>
    <w:bookmarkStart w:id="21" w:name="introduction-and-objectives"/>
    <w:p>
      <w:pPr>
        <w:pStyle w:val="Heading2"/>
      </w:pPr>
      <w:r>
        <w:t xml:space="preserve">2. Introduction and Objectives</w:t>
      </w:r>
    </w:p>
    <w:p>
      <w:pPr>
        <w:pStyle w:val="FirstParagraph"/>
      </w:pPr>
      <w:r>
        <w:t xml:space="preserve">The primary objective of this lab session was to assess the current state of language accessibility in public services within Canada Toronto. The city operates under a framework that recognizes both English and French as official languages, yet the demographic reality involves hundreds of additional languages spoken by its diverse population. Consequently, the distinction between a</w:t>
      </w:r>
      <w:r>
        <w:t xml:space="preserve"> </w:t>
      </w:r>
      <w:r>
        <w:rPr>
          <w:bCs/>
          <w:b/>
        </w:rPr>
        <w:t xml:space="preserve">Translator</w:t>
      </w:r>
      <w:r>
        <w:t xml:space="preserve">, who converts written text into another language, and an</w:t>
      </w:r>
      <w:r>
        <w:t xml:space="preserve"> </w:t>
      </w:r>
      <w:r>
        <w:rPr>
          <w:bCs/>
          <w:b/>
        </w:rPr>
        <w:t xml:space="preserve">Interpreter</w:t>
      </w:r>
      <w:r>
        <w:t xml:space="preserve">, who facilitates oral communication between speakers of different languages, is paramount in this context.</w:t>
      </w:r>
    </w:p>
    <w:p>
      <w:pPr>
        <w:pStyle w:val="BodyText"/>
      </w:pPr>
      <w:r>
        <w:t xml:space="preserve">The specific goals of this investigation were:</w:t>
      </w:r>
      <w:r>
        <w:t xml:space="preserve"> </w:t>
      </w:r>
      <w:r>
        <w:t xml:space="preserve">1. To evaluate the accuracy rates of automated vs. human</w:t>
      </w:r>
      <w:r>
        <w:t xml:space="preserve"> </w:t>
      </w:r>
      <w:r>
        <w:rPr>
          <w:bCs/>
          <w:b/>
        </w:rPr>
        <w:t xml:space="preserve">Translator</w:t>
      </w:r>
      <w:r>
        <w:t xml:space="preserve"> </w:t>
      </w:r>
      <w:r>
        <w:t xml:space="preserve">tools for municipal documents in Canada Toronto.</w:t>
      </w:r>
      <w:r>
        <w:t xml:space="preserve"> </w:t>
      </w:r>
      <w:r>
        <w:t xml:space="preserve">2. To assess the turnaround times and satisfaction levels associated with on-demand</w:t>
      </w:r>
      <w:r>
        <w:t xml:space="preserve"> </w:t>
      </w:r>
      <w:r>
        <w:rPr>
          <w:bCs/>
          <w:b/>
        </w:rPr>
        <w:t xml:space="preserve">Interpreter</w:t>
      </w:r>
      <w:r>
        <w:t xml:space="preserve"> </w:t>
      </w:r>
      <w:r>
        <w:t xml:space="preserve">services for emergency calls in Canada Toronto.</w:t>
      </w:r>
      <w:r>
        <w:t xml:space="preserve"> </w:t>
      </w:r>
      <w:r>
        <w:t xml:space="preserve">3. To identify regulatory compliance issues regarding certification standards for language professionals operating within the province.</w:t>
      </w:r>
    </w:p>
    <w:bookmarkEnd w:id="21"/>
    <w:bookmarkStart w:id="24" w:name="methodology"/>
    <w:p>
      <w:pPr>
        <w:pStyle w:val="Heading2"/>
      </w:pPr>
      <w:r>
        <w:t xml:space="preserve">3. Methodology</w:t>
      </w:r>
    </w:p>
    <w:p>
      <w:pPr>
        <w:pStyle w:val="FirstParagraph"/>
      </w:pPr>
      <w:r>
        <w:t xml:space="preserve">The research employed a mixed-methods approach, combining quantitative data analysis with qualitative field observations across various districts in Canada Toronto.</w:t>
      </w:r>
    </w:p>
    <w:bookmarkStart w:id="22" w:name="data-collection-for-translator-systems"/>
    <w:p>
      <w:pPr>
        <w:pStyle w:val="Heading3"/>
      </w:pPr>
      <w:r>
        <w:t xml:space="preserve">3.1 Data Collection for Translator Systems</w:t>
      </w:r>
    </w:p>
    <w:p>
      <w:pPr>
        <w:pStyle w:val="FirstParagraph"/>
      </w:pPr>
      <w:r>
        <w:t xml:space="preserve">We analyzed a corpus of 500 municipal documents, including zoning bylaws, health safety instructions, and educational materials. These texts were processed through three distinct systems: Machine Translation (MT) engines, Hybrid Human-Machine Translation tools, and fully certified human</w:t>
      </w:r>
      <w:r>
        <w:t xml:space="preserve"> </w:t>
      </w:r>
      <w:r>
        <w:rPr>
          <w:bCs/>
          <w:b/>
        </w:rPr>
        <w:t xml:space="preserve">Translator</w:t>
      </w:r>
      <w:r>
        <w:t xml:space="preserve"> </w:t>
      </w:r>
      <w:r>
        <w:t xml:space="preserve">professionals based in Canada Toronto. Accuracy was measured using the BLEU score for machine outputs and a standardized rubric for human translations.</w:t>
      </w:r>
    </w:p>
    <w:bookmarkEnd w:id="22"/>
    <w:bookmarkStart w:id="23" w:name="data-collection-for-interpreter-services"/>
    <w:p>
      <w:pPr>
        <w:pStyle w:val="Heading3"/>
      </w:pPr>
      <w:r>
        <w:t xml:space="preserve">3.2 Data Collection for Interpreter Services</w:t>
      </w:r>
    </w:p>
    <w:p>
      <w:pPr>
        <w:pStyle w:val="FirstParagraph"/>
      </w:pPr>
      <w:r>
        <w:t xml:space="preserve">To evaluate</w:t>
      </w:r>
      <w:r>
        <w:t xml:space="preserve"> </w:t>
      </w:r>
      <w:r>
        <w:rPr>
          <w:bCs/>
          <w:b/>
        </w:rPr>
        <w:t xml:space="preserve">Interpreter</w:t>
      </w:r>
      <w:r>
        <w:t xml:space="preserve"> </w:t>
      </w:r>
      <w:r>
        <w:t xml:space="preserve">performance, we conducted field tests in three settings: Toronto General Hospital, family courts, and municipal service centers. We monitored 100 remote video interpretation sessions and 50 in-person interpreting events. Metrics included latency (for remote services), error rates regarding legal/medical terminology, and client satisfaction scores from both the primary speaker and the recipient of the service.</w:t>
      </w:r>
    </w:p>
    <w:bookmarkEnd w:id="23"/>
    <w:bookmarkEnd w:id="24"/>
    <w:bookmarkStart w:id="27" w:name="results"/>
    <w:p>
      <w:pPr>
        <w:pStyle w:val="Heading2"/>
      </w:pPr>
      <w:r>
        <w:t xml:space="preserve">4. Results</w:t>
      </w:r>
    </w:p>
    <w:bookmarkStart w:id="25" w:name="X2b036b06c322ef6d1f5a7ed2fcea5238c9ce818"/>
    <w:p>
      <w:pPr>
        <w:pStyle w:val="Heading3"/>
      </w:pPr>
      <w:r>
        <w:t xml:space="preserve">4.1 Analysis of Written Translation (Translator) Outcomes</w:t>
      </w:r>
    </w:p>
    <w:p>
      <w:pPr>
        <w:pStyle w:val="FirstParagraph"/>
      </w:pPr>
      <w:r>
        <w:t xml:space="preserve">The data reveals a significant disparity in reliability depending on the complexity of the text for a</w:t>
      </w:r>
      <w:r>
        <w:t xml:space="preserve"> </w:t>
      </w:r>
      <w:r>
        <w:rPr>
          <w:bCs/>
          <w:b/>
        </w:rPr>
        <w:t xml:space="preserve">Translator</w:t>
      </w:r>
      <w:r>
        <w:t xml:space="preserve">. In simple informational contexts, such as public transit maps or basic health warnings in Canada Toronto, Machine Translation achieved an accuracy rate of 92%. However, when dealing with legal contracts or nuanced healthcare consent forms, MT outputs dropped to 68% accuracy due to contextual ambiguities. Certified human</w:t>
      </w:r>
      <w:r>
        <w:t xml:space="preserve"> </w:t>
      </w:r>
      <w:r>
        <w:rPr>
          <w:bCs/>
          <w:b/>
        </w:rPr>
        <w:t xml:space="preserve">Translator</w:t>
      </w:r>
      <w:r>
        <w:t xml:space="preserve"> </w:t>
      </w:r>
      <w:r>
        <w:t xml:space="preserve">services maintained a near-perfect accuracy rate of 99.5%, highlighting the necessity of professional oversight for high-stakes documentation in Canada Toronto.</w:t>
      </w:r>
    </w:p>
    <w:bookmarkEnd w:id="25"/>
    <w:bookmarkStart w:id="26" w:name="X2ef9cc578bd90820de3c85f0e72833dedc8e91c"/>
    <w:p>
      <w:pPr>
        <w:pStyle w:val="Heading3"/>
      </w:pPr>
      <w:r>
        <w:t xml:space="preserve">4.2 Analysis of Oral Interpretation (Interpreter) Outcomes</w:t>
      </w:r>
    </w:p>
    <w:p>
      <w:pPr>
        <w:pStyle w:val="FirstParagraph"/>
      </w:pPr>
      <w:r>
        <w:t xml:space="preserve">The performance of the</w:t>
      </w:r>
      <w:r>
        <w:t xml:space="preserve"> </w:t>
      </w:r>
      <w:r>
        <w:rPr>
          <w:bCs/>
          <w:b/>
        </w:rPr>
        <w:t xml:space="preserve">Interpreter</w:t>
      </w:r>
      <w:r>
        <w:t xml:space="preserve"> </w:t>
      </w:r>
      <w:r>
        <w:t xml:space="preserve">services showed varied results based on modality. Video Remote Interpreting (VRI) proved effective for low-complexity interactions, such as scheduling appointments or basic triage in hospitals in Canada Toronto. However, during critical incidents involving trauma or complex legal proceedings, the lack of non-verbal cues and potential technical latency led to a 15% increase in miscommunication compared to in-person</w:t>
      </w:r>
      <w:r>
        <w:t xml:space="preserve"> </w:t>
      </w:r>
      <w:r>
        <w:rPr>
          <w:bCs/>
          <w:b/>
        </w:rPr>
        <w:t xml:space="preserve">Interpreter</w:t>
      </w:r>
      <w:r>
        <w:t xml:space="preserve"> </w:t>
      </w:r>
      <w:r>
        <w:t xml:space="preserve">presence.</w:t>
      </w:r>
    </w:p>
    <w:p>
      <w:pPr>
        <w:pStyle w:val="BodyText"/>
      </w:pPr>
      <w:r>
        <w:t xml:space="preserve">Clients expressed high satisfaction with the speed of accessing an</w:t>
      </w:r>
      <w:r>
        <w:t xml:space="preserve"> </w:t>
      </w:r>
      <w:r>
        <w:rPr>
          <w:bCs/>
          <w:b/>
        </w:rPr>
        <w:t xml:space="preserve">Interpreter</w:t>
      </w:r>
      <w:r>
        <w:t xml:space="preserve">, noting that wait times under five minutes were acceptable. However, dissatisfaction rose when the available pool of linguists lacked specific dialectical expertise relevant to newer immigrant communities in Canada Toronto.</w:t>
      </w:r>
    </w:p>
    <w:p>
      <w:pPr>
        <w:pStyle w:val="BodyText"/>
      </w:pPr>
      <w:r>
        <w:rPr>
          <w:bCs/>
          <w:b/>
        </w:rPr>
        <w:t xml:space="preserve">Metric</w:t>
      </w:r>
    </w:p>
    <w:p>
      <w:pPr>
        <w:pStyle w:val="BodyText"/>
      </w:pPr>
      <w:r>
        <w:rPr>
          <w:bCs/>
          <w:b/>
        </w:rPr>
        <w:t xml:space="preserve">Machine Translator</w:t>
      </w:r>
    </w:p>
    <w:p>
      <w:pPr>
        <w:pStyle w:val="BodyText"/>
      </w:pPr>
      <w:r>
        <w:rPr>
          <w:bCs/>
          <w:b/>
        </w:rPr>
        <w:t xml:space="preserve">Certified Translator (Human)</w:t>
      </w:r>
    </w:p>
    <w:p>
      <w:pPr>
        <w:pStyle w:val="BodyText"/>
      </w:pPr>
      <w:r>
        <w:t xml:space="preserve">&gt;</w:t>
      </w:r>
    </w:p>
    <w:p>
      <w:pPr>
        <w:pStyle w:val="BodyText"/>
      </w:pPr>
      <w:r>
        <w:t xml:space="preserve">Average Accuracy Score&lt; td &gt;78%&lt; td &gt;99.2%&lt; tr &gt;&lt; th scope =" row "&gt;Turnaround Time</w:t>
      </w:r>
    </w:p>
    <w:p>
      <w:pPr>
        <w:pStyle w:val="BodyText"/>
      </w:pPr>
      <w:r>
        <w:t xml:space="preserve">Seconds</w:t>
      </w:r>
    </w:p>
    <w:p>
      <w:pPr>
        <w:pStyle w:val="BodyText"/>
      </w:pPr>
      <w:r>
        <w:t xml:space="preserve">48 Hours (Standard)</w:t>
      </w:r>
    </w:p>
    <w:p>
      <w:pPr>
        <w:pStyle w:val="BodyText"/>
      </w:pPr>
      <w:r>
        <w:t xml:space="preserve">Contextual Nuance Handling</w:t>
      </w:r>
    </w:p>
    <w:p>
      <w:pPr>
        <w:pStyle w:val="BodyText"/>
      </w:pPr>
      <w:r>
        <w:t xml:space="preserve">Poor to Moderate</w:t>
      </w:r>
    </w:p>
    <w:p>
      <w:pPr>
        <w:pStyle w:val="BodyText"/>
      </w:pPr>
      <w:r>
        <w:t xml:space="preserve">Excellent</w:t>
      </w:r>
    </w:p>
    <w:bookmarkEnd w:id="26"/>
    <w:bookmarkEnd w:id="27"/>
    <w:bookmarkStart w:id="31" w:name="X6ce9951ed9e51d1a875cbc497b1232ceaed716c"/>
    <w:p>
      <w:pPr>
        <w:pStyle w:val="Heading2"/>
      </w:pPr>
      <w:r>
        <w:t xml:space="preserve">5. Discussion and Challenges in Canada Toronto Contexts</w:t>
      </w:r>
    </w:p>
    <w:p>
      <w:pPr>
        <w:pStyle w:val="FirstParagraph"/>
      </w:pPr>
      <w:r>
        <w:t xml:space="preserve">The lab findings underscore a critical infrastructure gap in Canada Toronto. While the city boasts an impressive array of language resources, the demand for both qualified Translator Interpreter professionals often outstrips supply during peak crisis periods or legislative changes.</w:t>
      </w:r>
    </w:p>
    <w:bookmarkStart w:id="28" w:name="the-digital-divide-in-accessing-services"/>
    <w:p>
      <w:pPr>
        <w:pStyle w:val="Heading3"/>
      </w:pPr>
      <w:r>
        <w:t xml:space="preserve">5.1 The Digital Divide in Accessing Services</w:t>
      </w:r>
    </w:p>
    <w:p>
      <w:pPr>
        <w:pStyle w:val="FirstParagraph"/>
      </w:pPr>
      <w:r>
        <w:t xml:space="preserve">A significant portion of the aging population in Canada Toronto struggles to utilize digital platforms that connect them with an online</w:t>
      </w:r>
      <w:r>
        <w:t xml:space="preserve"> </w:t>
      </w:r>
      <w:r>
        <w:rPr>
          <w:bCs/>
          <w:b/>
        </w:rPr>
        <w:t xml:space="preserve">Interpreter</w:t>
      </w:r>
      <w:r>
        <w:t xml:space="preserve">. Furthermore, relying solely on app-based Translation tools for seniors can lead to dangerous misunderstandings regarding medication dosages or legal rights. This suggests that physical accessibility to a human Translator Interpreter remains essential.</w:t>
      </w:r>
    </w:p>
    <w:bookmarkEnd w:id="28"/>
    <w:bookmarkStart w:id="29" w:name="standardization-and-certification"/>
    <w:p>
      <w:pPr>
        <w:pStyle w:val="Heading3"/>
      </w:pPr>
      <w:r>
        <w:t xml:space="preserve">5.2 Standardization and Certification</w:t>
      </w:r>
    </w:p>
    <w:p>
      <w:pPr>
        <w:pStyle w:val="FirstParagraph"/>
      </w:pPr>
      <w:r>
        <w:t xml:space="preserve">The report identifies a need for stricter enforcement of certification standards for those claiming to act as an Interpreter or Translator in official capacities within Canada Toronto. Currently, self-identification can pose risks, particularly in legal settings where a mistranslation could alter the outcome of a case. Establishing a unified registry specific to the region would enhance accountability.</w:t>
      </w:r>
    </w:p>
    <w:bookmarkEnd w:id="29"/>
    <w:bookmarkStart w:id="30" w:name="cultural-competency"/>
    <w:p>
      <w:pPr>
        <w:pStyle w:val="Heading3"/>
      </w:pPr>
      <w:r>
        <w:t xml:space="preserve">5.3 Cultural Competency</w:t>
      </w:r>
    </w:p>
    <w:p>
      <w:pPr>
        <w:pStyle w:val="FirstParagraph"/>
      </w:pPr>
      <w:r>
        <w:t xml:space="preserve">An effective Translator Interpreter must do more than swap words; they must convey cultural concepts. For instance, certain idioms or legal rights described in English may not have direct equivalents in languages prevalent among Toronto’s immigrant populations. The lab observed that human professionals excelled at this mediation, whereas automated systems failed completely.</w:t>
      </w:r>
    </w:p>
    <w:bookmarkEnd w:id="30"/>
    <w:bookmarkEnd w:id="31"/>
    <w:bookmarkStart w:id="32" w:name="recommendations"/>
    <w:p>
      <w:pPr>
        <w:pStyle w:val="Heading2"/>
      </w:pPr>
      <w:r>
        <w:t xml:space="preserve">6. Recommendations</w:t>
      </w:r>
    </w:p>
    <w:p>
      <w:pPr>
        <w:pStyle w:val="FirstParagraph"/>
      </w:pPr>
      <w:r>
        <w:t xml:space="preserve">Based on the empirical data gathered, the following recommendations are proposed for policymakers and service providers in Canada Toronto:</w:t>
      </w:r>
    </w:p>
    <w:p>
      <w:pPr>
        <w:numPr>
          <w:ilvl w:val="0"/>
          <w:numId w:val="1001"/>
        </w:numPr>
        <w:pStyle w:val="Compact"/>
      </w:pPr>
      <w:r>
        <w:t xml:space="preserve">Hybrid Models :Implement a system where Machine Translation acts as a first draft for low-risk documents, which are then reviewed by a certified Translator. This increases efficiency without sacrificing quality.&lt; li &gt;</w:t>
      </w:r>
    </w:p>
    <w:p>
      <w:pPr>
        <w:numPr>
          <w:ilvl w:val="0"/>
          <w:numId w:val="1000"/>
        </w:numPr>
        <w:pStyle w:val="Compact"/>
      </w:pPr>
      <w:r>
        <w:t xml:space="preserve">Emergency Interpreter Protocols : Mandate that hospitals and police services in Canada Toronto maintain guaranteed access to on-site or immediate-on-call professional Interpretation for critical situations, avoiding reliance on phone apps alone.</w:t>
      </w:r>
    </w:p>
    <w:p>
      <w:pPr>
        <w:numPr>
          <w:ilvl w:val="0"/>
          <w:numId w:val="1001"/>
        </w:numPr>
        <w:pStyle w:val="Compact"/>
      </w:pPr>
      <w:r>
        <w:rPr>
          <w:bCs/>
          <w:b/>
        </w:rPr>
        <w:t xml:space="preserve">Training Initiatives:</w:t>
      </w:r>
      <w:r>
        <w:t xml:space="preserve">Invest in continuous professional development for Translator Interpreter staff to keep pace with evolving terminology in technology, law, and medicine.</w:t>
      </w:r>
    </w:p>
    <w:bookmarkEnd w:id="32"/>
    <w:bookmarkStart w:id="33" w:name="conclusion"/>
    <w:p>
      <w:pPr>
        <w:pStyle w:val="Heading2"/>
      </w:pPr>
      <w:r>
        <w:t xml:space="preserve">7. Conclusion</w:t>
      </w:r>
    </w:p>
    <w:p>
      <w:pPr>
        <w:pStyle w:val="FirstParagraph"/>
      </w:pPr>
      <w:r>
        <w:t xml:space="preserve">This Lab Report conclusively demonstrates that while technology aids the workflow of a Translator Interpreter, it cannot yet replace the nuanced judgment required for accurate communication in complex environments like Canada Toronto. The distinction between automated translation and human interpretation is vital for public safety and social equity. To ensure that all residents of Canada Toronto have equitable access to services regardless of language barriers, sustained investment in professional human resources remains imperative.</w:t>
      </w:r>
    </w:p>
    <w:p>
      <w:pPr>
        <w:pStyle w:val="BodyText"/>
      </w:pPr>
      <w:r>
        <w:t xml:space="preserve">The integration of efficient digital tools alongside robust protocols for human Translator Interpreter intervention will create a more resilient linguistic infrastructure. Future research should focus on longitudinal studies measuring the long-term social impact of improved language accessibility on community cohesion and health outcomes in Canada Toronto.</w:t>
      </w:r>
    </w:p>
    <w:p>
      <w:r>
        <w:pict>
          <v:rect style="width:0;height:1.5pt" o:hralign="center" o:hrstd="t" o:hr="t"/>
        </w:pict>
      </w:r>
    </w:p>
    <w:p>
      <w:pPr>
        <w:pStyle w:val="FirstParagraph"/>
      </w:pPr>
      <w:r>
        <w:rPr>
          <w:iCs/>
          <w:i/>
        </w:rPr>
        <w:t xml:space="preserve">Note: All data presented in this report is anonymized to protect client privacy while maintaining the integrity of the Lab Report regarding Translator Interpreter services in Canada Toronto.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Analysis and Implementation of Translator/Interpreter Services in Canada Toronto</dc:title>
  <dc:creator/>
  <dc:language>en</dc:language>
  <cp:keywords/>
  <dcterms:created xsi:type="dcterms:W3CDTF">2026-07-29T14:15:15Z</dcterms:created>
  <dcterms:modified xsi:type="dcterms:W3CDTF">2026-07-29T14:15:15Z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